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BEB11B">
      <w:pPr>
        <w:tabs>
          <w:tab w:val="left" w:pos="0"/>
        </w:tabs>
        <w:spacing w:after="0"/>
        <w:ind w:right="57"/>
        <w:rPr>
          <w:rFonts w:cs="Calibri"/>
          <w:iCs/>
          <w:sz w:val="28"/>
          <w:szCs w:val="28"/>
        </w:rPr>
      </w:pPr>
      <w:bookmarkStart w:id="0" w:name="_GoBack"/>
      <w:bookmarkEnd w:id="0"/>
    </w:p>
    <w:p w14:paraId="7ED8A8D1">
      <w:pPr>
        <w:spacing w:line="276" w:lineRule="auto"/>
        <w:jc w:val="center"/>
        <w:rPr>
          <w:rFonts w:cs="Calibri"/>
          <w:b/>
          <w:bCs/>
          <w:iCs/>
          <w:sz w:val="28"/>
          <w:szCs w:val="28"/>
        </w:rPr>
      </w:pPr>
    </w:p>
    <w:p w14:paraId="70594E4E">
      <w:pPr>
        <w:spacing w:line="276" w:lineRule="auto"/>
        <w:jc w:val="center"/>
        <w:rPr>
          <w:rFonts w:cs="Calibri"/>
          <w:b/>
          <w:bCs/>
          <w:iCs/>
          <w:sz w:val="28"/>
          <w:szCs w:val="28"/>
        </w:rPr>
      </w:pPr>
    </w:p>
    <w:p w14:paraId="7062D311">
      <w:pPr>
        <w:spacing w:line="276" w:lineRule="auto"/>
        <w:jc w:val="center"/>
        <w:rPr>
          <w:rFonts w:ascii="Arial" w:hAnsi="Arial" w:cs="Arial"/>
          <w:b/>
          <w:bCs/>
          <w:iCs/>
          <w:sz w:val="24"/>
          <w:szCs w:val="24"/>
        </w:rPr>
      </w:pPr>
      <w:r>
        <w:rPr>
          <w:rFonts w:ascii="Arial" w:hAnsi="Arial" w:cs="Arial"/>
          <w:b/>
          <w:bCs/>
          <w:iCs/>
          <w:sz w:val="24"/>
          <w:szCs w:val="24"/>
        </w:rPr>
        <w:t>ROZHODNUTIE</w:t>
      </w:r>
    </w:p>
    <w:p w14:paraId="3D8DAACC">
      <w:pPr>
        <w:spacing w:after="0" w:line="276" w:lineRule="auto"/>
        <w:jc w:val="both"/>
        <w:rPr>
          <w:rFonts w:ascii="Arial" w:hAnsi="Arial" w:cs="Arial"/>
          <w:iCs/>
          <w:sz w:val="20"/>
          <w:szCs w:val="20"/>
        </w:rPr>
      </w:pPr>
    </w:p>
    <w:p w14:paraId="29DDF43F">
      <w:pPr>
        <w:spacing w:after="0" w:line="276" w:lineRule="auto"/>
        <w:jc w:val="both"/>
        <w:rPr>
          <w:rFonts w:ascii="Arial" w:hAnsi="Arial" w:cs="Arial"/>
          <w:iCs/>
          <w:sz w:val="20"/>
          <w:szCs w:val="20"/>
        </w:rPr>
      </w:pPr>
    </w:p>
    <w:p w14:paraId="147D0452">
      <w:pPr>
        <w:spacing w:after="0" w:line="276" w:lineRule="auto"/>
        <w:jc w:val="both"/>
        <w:rPr>
          <w:rFonts w:ascii="Arial" w:hAnsi="Arial" w:cs="Arial"/>
          <w:iCs/>
          <w:sz w:val="20"/>
          <w:szCs w:val="20"/>
        </w:rPr>
      </w:pPr>
      <w:r>
        <w:rPr>
          <w:rFonts w:ascii="Arial" w:hAnsi="Arial" w:cs="Arial"/>
          <w:iCs/>
          <w:sz w:val="20"/>
          <w:szCs w:val="20"/>
        </w:rPr>
        <w:t>Obec Podkriváň, ako príslušný stavebný úrad (ďalej len „stavebný úrad“) podľa § 15 ods. 5 zákona               č. 25/2025 Z. z. Stavebný zákon a o zmene a doplnení niektorých zákonov (Stavebný zákon) v znení neskorších predpisov (ďalej len „Stavebný zákon“), podľa § 46 a § 47 zákona č. 71/1967 Zb. o správnom konaní (správny poriadok) v znení neskorších predpisov (ďalej len „správny poriadok“), rozhodujúc podľa § 60 Stavebného zákona v spojení s § 14 vyhlášky č. 60/2025 Z. z. o štruktúre   a prevádzke informačného systému územného plánovania a výstavby, o obsahu podaní a obsahu  a rozsahu dokumentácie stavby (ďalej len „vyhláška č. 60/2025 Z. z.“) vydáva</w:t>
      </w:r>
    </w:p>
    <w:p w14:paraId="5B6C3739">
      <w:pPr>
        <w:spacing w:after="0" w:line="276" w:lineRule="auto"/>
        <w:ind w:firstLine="709"/>
        <w:jc w:val="both"/>
        <w:rPr>
          <w:rFonts w:ascii="Arial" w:hAnsi="Arial" w:cs="Arial"/>
          <w:iCs/>
          <w:sz w:val="20"/>
          <w:szCs w:val="20"/>
        </w:rPr>
      </w:pPr>
    </w:p>
    <w:p w14:paraId="4A19A2A9">
      <w:pPr>
        <w:spacing w:after="0" w:line="276" w:lineRule="auto"/>
        <w:jc w:val="center"/>
        <w:rPr>
          <w:rFonts w:cs="Calibri"/>
          <w:b/>
          <w:bCs/>
          <w:iCs/>
        </w:rPr>
      </w:pPr>
      <w:r>
        <w:rPr>
          <w:rFonts w:cs="Calibri"/>
          <w:b/>
          <w:bCs/>
          <w:iCs/>
        </w:rPr>
        <w:t>rozhodnutie o stavebnom zámere</w:t>
      </w:r>
    </w:p>
    <w:p w14:paraId="05DB7215">
      <w:pPr>
        <w:spacing w:after="0" w:line="276" w:lineRule="auto"/>
        <w:jc w:val="center"/>
        <w:rPr>
          <w:rFonts w:cs="Calibri"/>
          <w:b/>
          <w:bCs/>
          <w:iCs/>
        </w:rPr>
      </w:pPr>
    </w:p>
    <w:p w14:paraId="1DD170E6">
      <w:pPr>
        <w:spacing w:after="0"/>
        <w:jc w:val="both"/>
      </w:pPr>
      <w:r>
        <w:rPr>
          <w:b/>
          <w:bCs/>
        </w:rPr>
        <w:t>ID stavby:</w:t>
      </w:r>
      <w:r>
        <w:tab/>
      </w:r>
      <w:r>
        <w:tab/>
      </w:r>
      <w:r>
        <w:t>2315</w:t>
      </w:r>
    </w:p>
    <w:p w14:paraId="06E4E274">
      <w:pPr>
        <w:spacing w:after="0"/>
        <w:jc w:val="both"/>
        <w:rPr>
          <w:b/>
          <w:bCs/>
        </w:rPr>
      </w:pPr>
      <w:r>
        <w:rPr>
          <w:b/>
          <w:bCs/>
        </w:rPr>
        <w:t>názov stavby:</w:t>
      </w:r>
      <w:r>
        <w:rPr>
          <w:b/>
          <w:bCs/>
        </w:rPr>
        <w:tab/>
      </w:r>
      <w:r>
        <w:rPr>
          <w:b/>
          <w:bCs/>
        </w:rPr>
        <w:tab/>
      </w:r>
      <w:r>
        <w:rPr>
          <w:b/>
          <w:bCs/>
        </w:rPr>
        <w:t>„19022-Dobroč-Brestina-Zahustenie TS a rekonštrukcia NNS“</w:t>
      </w:r>
      <w:r>
        <w:rPr>
          <w:b/>
          <w:bCs/>
        </w:rPr>
        <w:tab/>
      </w:r>
    </w:p>
    <w:p w14:paraId="15D026C7">
      <w:pPr>
        <w:spacing w:after="0"/>
        <w:jc w:val="both"/>
      </w:pPr>
      <w:r>
        <w:rPr>
          <w:b/>
          <w:bCs/>
        </w:rPr>
        <w:t>v členení:</w:t>
      </w:r>
      <w:r>
        <w:rPr>
          <w:b/>
          <w:bCs/>
        </w:rPr>
        <w:tab/>
      </w:r>
      <w:r>
        <w:tab/>
      </w:r>
      <w:r>
        <w:t>SO 01 – Líniové vedenie a trafostanica</w:t>
      </w:r>
    </w:p>
    <w:p w14:paraId="6D6C6154">
      <w:pPr>
        <w:spacing w:after="0"/>
        <w:jc w:val="both"/>
      </w:pPr>
      <w:r>
        <w:tab/>
      </w:r>
      <w:r>
        <w:tab/>
      </w:r>
      <w:r>
        <w:tab/>
      </w:r>
      <w:r>
        <w:t>časť – VN podzemné vedenie</w:t>
      </w:r>
    </w:p>
    <w:p w14:paraId="71DEC6D4">
      <w:pPr>
        <w:spacing w:after="0"/>
        <w:jc w:val="both"/>
      </w:pPr>
      <w:r>
        <w:tab/>
      </w:r>
      <w:r>
        <w:tab/>
      </w:r>
      <w:r>
        <w:tab/>
      </w:r>
      <w:r>
        <w:t>časť- NN podzemné vedenie</w:t>
      </w:r>
    </w:p>
    <w:p w14:paraId="1D9D1A42">
      <w:pPr>
        <w:spacing w:after="0"/>
        <w:jc w:val="both"/>
      </w:pPr>
      <w:r>
        <w:t xml:space="preserve">                                           časť – NN nadzemné vedenie izolované – rekonštrukcia</w:t>
      </w:r>
    </w:p>
    <w:p w14:paraId="03A67EED">
      <w:pPr>
        <w:spacing w:after="0"/>
        <w:jc w:val="both"/>
        <w:rPr>
          <w:highlight w:val="yellow"/>
        </w:rPr>
      </w:pPr>
      <w:r>
        <w:t xml:space="preserve">                                           časť – Trafostanica kiosková </w:t>
      </w:r>
    </w:p>
    <w:p w14:paraId="4EF0368B">
      <w:pPr>
        <w:spacing w:after="0"/>
        <w:jc w:val="both"/>
      </w:pPr>
      <w:r>
        <w:rPr>
          <w:b/>
          <w:bCs/>
        </w:rPr>
        <w:t>miesto stavby:</w:t>
      </w:r>
      <w:r>
        <w:tab/>
      </w:r>
      <w:r>
        <w:tab/>
      </w:r>
      <w:r>
        <w:t>extravilán obce Podkriváň, Dobroč, Detvianska Huta</w:t>
      </w:r>
    </w:p>
    <w:p w14:paraId="70694A16">
      <w:pPr>
        <w:spacing w:after="0"/>
        <w:ind w:left="2127" w:hanging="2127"/>
        <w:jc w:val="both"/>
      </w:pPr>
      <w:r>
        <w:rPr>
          <w:b/>
          <w:bCs/>
        </w:rPr>
        <w:t>stavebné pozemky:</w:t>
      </w:r>
      <w:r>
        <w:tab/>
      </w:r>
      <w:r>
        <w:t>líniová stavba, na pozemkoch C-KN 887 (E-KN 31/3) kat. územie Podkriváň, C-KN (1300/5 (E-KN 101) kat. územie Dobroč, C-KN 809/11 kat. územie Dobroč, C-KN 881 (E-KN 2636/4) kat územie Dobroč, C-KN 881 (E-KN 101) kat územie Dobroč, C-KN 1294 (E-KN 101) kat územie Dobroč, C-KN 877 (E-KN 101) kat územie Dobroč, C-KN 878 (E-KN 101) kat územie Dobroč, C-KN 876 (E-KN 29) kat územie Dobroč, C-KN 841/1 (E-KN 2648) kat územie Dobroč, C-KN 841/1 (E-KN 2650) kat územie Dobroč, C-KN 841/1 (E-KN 2649) kat územie Dobroč, C-KN 841/1 (E-KN 2645) kat územie Dobroč, C-KN 841/3, kat. územie Dobroč, C-KN 850/1, kat. územie Dobroč, C-KN 841/1 (E-KN 2651) kat územie Dobroč, C-KN 841/1 (E-KN 2652) kat územie Dobroč, C-KN 4864/1, kat. územie Detvianska Huta, C-KN 4874, kat. územie Detvianska Huta, C-KN 4867, kat. územie Detvianska Huta, C-KN 834/1 (E-KN 2654) kat. územie Dobroč, C-KN 834/1 (2653) kat. územie Dobroč, C-KN 809/1 (E-KN 2661) kat. územie Dobroč, C-KN 806/4, kat. územie Dobroč, C-KN 807, kat. územie Dobroč, C-KN 806/1 (E-KN 2673/1) kat. územie Dobroč</w:t>
      </w:r>
    </w:p>
    <w:p w14:paraId="124C14CC">
      <w:pPr>
        <w:spacing w:after="0"/>
        <w:ind w:left="2127" w:hanging="2127"/>
        <w:jc w:val="both"/>
      </w:pPr>
      <w:r>
        <w:rPr>
          <w:b/>
          <w:bCs/>
        </w:rPr>
        <w:t xml:space="preserve">stavebník: </w:t>
      </w:r>
      <w:r>
        <w:rPr>
          <w:b/>
          <w:bCs/>
        </w:rPr>
        <w:tab/>
      </w:r>
      <w:r>
        <w:rPr>
          <w:b/>
          <w:bCs/>
        </w:rPr>
        <w:t>Stredoslovenská distribučná a.s., Pri Rajčianke 2927/8, 010 47 Žilina, IČO: 36442151, v zastúpení EUB, s.r.o., Priehradná 1690/3, 031 01 Liptovský Mikuláš, IČO: 44736339</w:t>
      </w:r>
      <w:r>
        <w:t xml:space="preserve"> (ďalej len „stavebník“)</w:t>
      </w:r>
    </w:p>
    <w:p w14:paraId="3E9D181C">
      <w:pPr>
        <w:tabs>
          <w:tab w:val="left" w:pos="2127"/>
        </w:tabs>
        <w:spacing w:after="0"/>
        <w:ind w:left="2127" w:hanging="2127"/>
        <w:jc w:val="both"/>
        <w:rPr>
          <w:b/>
          <w:bCs/>
        </w:rPr>
      </w:pPr>
    </w:p>
    <w:p w14:paraId="42340ADD">
      <w:pPr>
        <w:jc w:val="both"/>
        <w:rPr>
          <w:rFonts w:ascii="Arial" w:hAnsi="Arial" w:cs="Arial"/>
          <w:sz w:val="18"/>
          <w:szCs w:val="18"/>
          <w:u w:val="single"/>
        </w:rPr>
      </w:pPr>
      <w:r>
        <w:rPr>
          <w:rFonts w:ascii="Arial" w:hAnsi="Arial" w:cs="Arial"/>
          <w:sz w:val="18"/>
          <w:szCs w:val="18"/>
          <w:u w:val="single"/>
        </w:rPr>
        <w:t>č.j.: 2025/230/MH/PK-SZ roz.                                                                                                                                   2/8</w:t>
      </w:r>
    </w:p>
    <w:p w14:paraId="01C37389">
      <w:pPr>
        <w:tabs>
          <w:tab w:val="left" w:pos="2127"/>
        </w:tabs>
        <w:spacing w:after="0"/>
        <w:ind w:left="2127" w:hanging="2127"/>
        <w:jc w:val="both"/>
        <w:rPr>
          <w:b/>
          <w:bCs/>
        </w:rPr>
      </w:pPr>
    </w:p>
    <w:p w14:paraId="1A74B616">
      <w:pPr>
        <w:tabs>
          <w:tab w:val="left" w:pos="2127"/>
        </w:tabs>
        <w:spacing w:after="0"/>
        <w:ind w:left="2127" w:hanging="2127"/>
        <w:jc w:val="both"/>
      </w:pPr>
      <w:r>
        <w:rPr>
          <w:b/>
          <w:bCs/>
        </w:rPr>
        <w:t>vlastník stavby :        Stredoslovenská distribučná a.s., Pri Rajčianke 2927/8, 010 47 Žilina, IČO: 36442151</w:t>
      </w:r>
    </w:p>
    <w:p w14:paraId="5BCF8332">
      <w:pPr>
        <w:spacing w:after="0"/>
        <w:ind w:left="2127" w:hanging="2127"/>
        <w:jc w:val="both"/>
      </w:pPr>
      <w:r>
        <w:rPr>
          <w:b/>
          <w:bCs/>
        </w:rPr>
        <w:t>účel stavby:</w:t>
      </w:r>
      <w:r>
        <w:rPr>
          <w:b/>
          <w:bCs/>
        </w:rPr>
        <w:tab/>
      </w:r>
      <w:r>
        <w:t xml:space="preserve">2315 - prenosové a distribučné sústavy elektrickej energie </w:t>
      </w:r>
    </w:p>
    <w:p w14:paraId="42E8FDD7">
      <w:pPr>
        <w:spacing w:after="0"/>
        <w:ind w:left="2127" w:hanging="2127"/>
        <w:jc w:val="both"/>
      </w:pPr>
      <w:r>
        <w:rPr>
          <w:b/>
          <w:bCs/>
        </w:rPr>
        <w:t>typ stavby:</w:t>
      </w:r>
      <w:r>
        <w:tab/>
      </w:r>
      <w:r>
        <w:t xml:space="preserve">novostavba, rekonštrukcia </w:t>
      </w:r>
    </w:p>
    <w:p w14:paraId="7F5EF16D">
      <w:pPr>
        <w:spacing w:after="0"/>
        <w:ind w:left="2127" w:hanging="2127"/>
        <w:jc w:val="both"/>
      </w:pPr>
      <w:r>
        <w:rPr>
          <w:b/>
          <w:bCs/>
        </w:rPr>
        <w:t>projektant:</w:t>
      </w:r>
      <w:r>
        <w:tab/>
      </w:r>
      <w:r>
        <w:t>EUB s.r.o. Priehradná 1690/30, 031 01 Liptovský Mikuláš, IČO:, generálny projektant Ing. Michal Borsík, reg. č. 6188*A2</w:t>
      </w:r>
    </w:p>
    <w:p w14:paraId="7860D802">
      <w:pPr>
        <w:spacing w:after="0"/>
        <w:jc w:val="both"/>
        <w:rPr>
          <w:b/>
          <w:bCs/>
        </w:rPr>
      </w:pPr>
      <w:r>
        <w:rPr>
          <w:b/>
          <w:bCs/>
        </w:rPr>
        <w:t xml:space="preserve">identifikačné údaje </w:t>
      </w:r>
    </w:p>
    <w:p w14:paraId="28C57DC3">
      <w:pPr>
        <w:spacing w:after="0"/>
        <w:ind w:left="2127" w:hanging="2127"/>
        <w:jc w:val="both"/>
      </w:pPr>
      <w:r>
        <w:rPr>
          <w:b/>
          <w:bCs/>
        </w:rPr>
        <w:t>dokumentácie:</w:t>
      </w:r>
      <w:r>
        <w:tab/>
      </w:r>
      <w:r>
        <w:rPr>
          <w:b/>
          <w:bCs/>
        </w:rPr>
        <w:t>„19022-Dobroč-Brestina-Zahustenie TS a rekonštrukcia NNS“</w:t>
      </w:r>
      <w:r>
        <w:rPr>
          <w:b/>
          <w:bCs/>
        </w:rPr>
        <w:tab/>
      </w:r>
      <w:r>
        <w:tab/>
      </w:r>
    </w:p>
    <w:p w14:paraId="074B52AB">
      <w:pPr>
        <w:spacing w:after="0"/>
        <w:ind w:left="2127" w:hanging="2127"/>
        <w:jc w:val="both"/>
      </w:pPr>
      <w:r>
        <w:t xml:space="preserve">                                           EUB s.r.o. Priehradná 1690/30, 031 01 Liptovský Mikuláš, IČO:, generálny projektant Ing. Michal Borsík, reg. č. 6188*A2, </w:t>
      </w:r>
    </w:p>
    <w:p w14:paraId="557D01D5">
      <w:pPr>
        <w:spacing w:after="0"/>
        <w:ind w:left="2127" w:hanging="2127"/>
        <w:jc w:val="both"/>
      </w:pPr>
      <w:r>
        <w:t xml:space="preserve">                                           číslo zákazky :25/01/18</w:t>
      </w:r>
    </w:p>
    <w:p w14:paraId="12FF3491">
      <w:pPr>
        <w:spacing w:after="0"/>
        <w:ind w:left="2127" w:hanging="2127"/>
        <w:jc w:val="both"/>
      </w:pPr>
      <w:r>
        <w:t xml:space="preserve">                                          dátum vypracovania projektu: 05/2025</w:t>
      </w:r>
    </w:p>
    <w:p w14:paraId="11B24886">
      <w:pPr>
        <w:spacing w:after="0"/>
        <w:jc w:val="both"/>
      </w:pPr>
    </w:p>
    <w:p w14:paraId="7F94FE2A">
      <w:pPr>
        <w:spacing w:after="0" w:line="240" w:lineRule="auto"/>
        <w:jc w:val="both"/>
        <w:rPr>
          <w:b/>
          <w:lang w:eastAsia="en-US"/>
        </w:rPr>
      </w:pPr>
      <w:r>
        <w:rPr>
          <w:b/>
          <w:lang w:eastAsia="en-US"/>
        </w:rPr>
        <w:t xml:space="preserve">Zoznam účastníkov konania: </w:t>
      </w:r>
    </w:p>
    <w:p w14:paraId="26294DFF">
      <w:pPr>
        <w:pStyle w:val="15"/>
        <w:numPr>
          <w:ilvl w:val="0"/>
          <w:numId w:val="1"/>
        </w:numPr>
        <w:spacing w:line="276" w:lineRule="auto"/>
        <w:jc w:val="both"/>
        <w:rPr>
          <w:rFonts w:cs="Calibri"/>
          <w:iCs/>
        </w:rPr>
      </w:pPr>
      <w:r>
        <w:rPr>
          <w:rFonts w:cs="Calibri"/>
          <w:iCs/>
        </w:rPr>
        <w:t xml:space="preserve">Stredoslovenská distribučná, a.s., Pri Rajčianke 2927/8, 010 47 Žilina, IČO: 36442151 – stavebník, </w:t>
      </w:r>
    </w:p>
    <w:p w14:paraId="11E78806">
      <w:pPr>
        <w:pStyle w:val="15"/>
        <w:numPr>
          <w:ilvl w:val="0"/>
          <w:numId w:val="1"/>
        </w:numPr>
        <w:spacing w:line="276" w:lineRule="auto"/>
        <w:jc w:val="both"/>
        <w:rPr>
          <w:rFonts w:cs="Calibri"/>
          <w:iCs/>
        </w:rPr>
      </w:pPr>
      <w:r>
        <w:rPr>
          <w:rFonts w:cs="Calibri"/>
          <w:iCs/>
        </w:rPr>
        <w:t>EUB, s.r.o., Priehradná 1690/3, 031 01 Liptovský Mikuláš, IČO: 44736339 - projektant</w:t>
      </w:r>
    </w:p>
    <w:p w14:paraId="163433C0">
      <w:pPr>
        <w:spacing w:after="0"/>
        <w:jc w:val="both"/>
      </w:pPr>
      <w:r>
        <w:rPr>
          <w:rFonts w:cs="Calibri"/>
          <w:iCs/>
        </w:rPr>
        <w:t xml:space="preserve">Právnické a fyzické osoby, ktoré majú vlastnícke alebo iné právo k pozemkom alebo stavbám na parcele: </w:t>
      </w:r>
      <w:r>
        <w:t>C-KN 887 (E-KN 31/3) kat. územie Podkriváň, C-KN (1300/5 (E-KN 101) kat. územie Dobroč, C-KN 809/11 kat. územie Dobroč, C-KN 881 (E-KN 2636/4) kat územie Dobroč, C-KN 881 (E-KN 101) kat územie Dobroč, C-KN 1294 (E-KN 101) kat územie Dobroč, C-KN 877 (E-KN 101) kat územie Dobroč, C-KN 878 (E-KN 101) kat územie Dobroč, C-KN 876 (E-KN 29) kat územie Dobroč, C-KN 841/1 (E-KN 2648) kat územie Dobroč, C-KN 841/1 (E-KN 2650) kat územie Dobroč, C-KN 841/1 (E-KN 2649) kat územie Dobroč, C-KN 841/1 (E-KN 2645) kat územie Dobroč, C-KN 841/3, kat. územie Dobroč, C-KN 850/1, kat. územie Dobroč, C-KN 841/1 (E-KN 2651) kat územie Dobroč, C-KN 841/1 (E-KN 2652) kat územie Dobroč, C-KN 4864/1, kat. územie Detvianska Huta, C-KN 4874, kat. územie Detvianska Huta, C-KN 4867, kat. územie Detvianska Huta, C-KN 834/1 (E-KN 2654) kat. územie Dobroč, C-KN 834/1 (2653) kat. územie Dobroč, C-KN 809/1 (E-KN 2661) kat. územie Dobroč, C-KN 806/4, kat. územie Dobroč, C-KN 807, kat. územie Dobroč, C-KN 806/1 (E-KN 2673/1) kat. územie Dobroč</w:t>
      </w:r>
    </w:p>
    <w:p w14:paraId="723029ED">
      <w:pPr>
        <w:spacing w:after="0" w:line="276" w:lineRule="auto"/>
        <w:jc w:val="both"/>
        <w:rPr>
          <w:rFonts w:cs="Calibri"/>
          <w:iCs/>
        </w:rPr>
      </w:pPr>
    </w:p>
    <w:p w14:paraId="3CC56208">
      <w:pPr>
        <w:spacing w:after="0" w:line="240" w:lineRule="auto"/>
        <w:jc w:val="both"/>
        <w:rPr>
          <w:b/>
          <w:bCs/>
        </w:rPr>
      </w:pPr>
      <w:r>
        <w:rPr>
          <w:b/>
          <w:bCs/>
        </w:rPr>
        <w:t xml:space="preserve">Podrobné údaje o stavbe: </w:t>
      </w:r>
    </w:p>
    <w:p w14:paraId="0C12DC79">
      <w:pPr>
        <w:spacing w:after="0"/>
        <w:jc w:val="both"/>
        <w:rPr>
          <w:rFonts w:ascii="Arial" w:hAnsi="Arial" w:cs="Arial"/>
          <w:sz w:val="20"/>
          <w:szCs w:val="20"/>
        </w:rPr>
      </w:pPr>
      <w:r>
        <w:rPr>
          <w:rFonts w:ascii="Arial" w:hAnsi="Arial" w:cs="Arial"/>
          <w:sz w:val="20"/>
          <w:szCs w:val="20"/>
        </w:rPr>
        <w:t>Na existujúci podperný bod na ktorom je umiestnený UV 384/uv/dobroc-brestiny sa umiestni nový úsekový odpojovač 384/uv/dobroc-brestiny-2 zvislý úsekový odpojovač typu OTE 25/400-S + OP, SB spolu zo zvodičmi prepätia. Pripojí sa za pomoci plastových koncoviek typu HOT1.2402L a káblom typu 3x22-NA2XS(F)2Y 1x70, ktorý bude ukončený v novej distribučnej kioskovej TS. Napojenie novej kioskovej trafostanice bude riešené novým VN káblovým vedením 3x22-NA2XS(F)2Y 1x70/16 RM mm2. Nové VN vedenie povedie do novej kioskovej trafostanice.</w:t>
      </w:r>
    </w:p>
    <w:p w14:paraId="4AA0BF8F">
      <w:pPr>
        <w:pStyle w:val="22"/>
        <w:numPr>
          <w:ilvl w:val="0"/>
          <w:numId w:val="2"/>
        </w:numPr>
        <w:shd w:val="clear" w:color="auto" w:fill="auto"/>
        <w:tabs>
          <w:tab w:val="left" w:pos="240"/>
        </w:tabs>
        <w:spacing w:before="0" w:after="0" w:line="224" w:lineRule="exact"/>
        <w:ind w:left="20" w:right="20"/>
        <w:jc w:val="both"/>
        <w:rPr>
          <w:rFonts w:ascii="Arial" w:hAnsi="Arial" w:cs="Arial"/>
          <w:sz w:val="20"/>
          <w:szCs w:val="20"/>
        </w:rPr>
      </w:pPr>
      <w:r>
        <w:rPr>
          <w:rFonts w:ascii="Arial" w:hAnsi="Arial" w:cs="Arial"/>
          <w:sz w:val="20"/>
          <w:szCs w:val="20"/>
        </w:rPr>
        <w:t>navrhovanej kioskovej trafostanici sa VN káblové vedenie 3x22-NA2XS(F)2Y 1x70/16 RM mm2 pripojí pomocou adaptéra RSTI-5851.</w:t>
      </w:r>
    </w:p>
    <w:p w14:paraId="13E1B43B">
      <w:pPr>
        <w:pStyle w:val="22"/>
        <w:shd w:val="clear" w:color="auto" w:fill="auto"/>
        <w:spacing w:line="220" w:lineRule="exact"/>
        <w:ind w:left="20" w:right="20"/>
        <w:jc w:val="both"/>
        <w:rPr>
          <w:rFonts w:ascii="Arial" w:hAnsi="Arial" w:cs="Arial"/>
          <w:sz w:val="20"/>
          <w:szCs w:val="20"/>
        </w:rPr>
      </w:pPr>
      <w:r>
        <w:rPr>
          <w:rFonts w:ascii="Arial" w:hAnsi="Arial" w:cs="Arial"/>
          <w:sz w:val="20"/>
          <w:szCs w:val="20"/>
        </w:rPr>
        <w:t>Uloženie kábla v teréne bude v chráničke FSX-PEG 160/6 na ktorej bude uložená výstražná fólia a krycí návin HDPE, ktorý spĺňa aj funkciu výstražnej fólie.</w:t>
      </w:r>
    </w:p>
    <w:p w14:paraId="54CC08C2">
      <w:pPr>
        <w:pStyle w:val="22"/>
        <w:shd w:val="clear" w:color="auto" w:fill="auto"/>
        <w:spacing w:after="180" w:line="220" w:lineRule="exact"/>
        <w:ind w:left="20" w:right="20"/>
        <w:jc w:val="both"/>
        <w:rPr>
          <w:rFonts w:ascii="Arial" w:hAnsi="Arial" w:cs="Arial"/>
          <w:sz w:val="20"/>
          <w:szCs w:val="20"/>
        </w:rPr>
      </w:pPr>
      <w:r>
        <w:rPr>
          <w:rFonts w:ascii="Arial" w:hAnsi="Arial" w:cs="Arial"/>
          <w:sz w:val="20"/>
          <w:szCs w:val="20"/>
        </w:rPr>
        <w:t>Výkopové práce sa budú vykonávať strojne, okrem úsekov v ktorých sa nachádzajú inžinierske siete v takých prípadoch je potrebný ručný výkop. Po ukončení výkopových prác je potrebné terén uviesť do pôvodného stavu. Uzemnenie: Tienenie VN kábla bude uzemnené v navrhovanej TS. Spoje sú riešené pomocou uzemňovacích svoriek.</w:t>
      </w:r>
    </w:p>
    <w:p w14:paraId="24E0EA43">
      <w:pPr>
        <w:jc w:val="both"/>
        <w:rPr>
          <w:rFonts w:ascii="Arial" w:hAnsi="Arial" w:cs="Arial"/>
          <w:sz w:val="18"/>
          <w:szCs w:val="18"/>
          <w:u w:val="single"/>
        </w:rPr>
      </w:pPr>
    </w:p>
    <w:p w14:paraId="069ADE61">
      <w:pPr>
        <w:jc w:val="both"/>
        <w:rPr>
          <w:rFonts w:ascii="Arial" w:hAnsi="Arial" w:cs="Arial"/>
          <w:sz w:val="18"/>
          <w:szCs w:val="18"/>
          <w:u w:val="single"/>
        </w:rPr>
      </w:pPr>
      <w:r>
        <w:rPr>
          <w:rFonts w:ascii="Arial" w:hAnsi="Arial" w:cs="Arial"/>
          <w:sz w:val="18"/>
          <w:szCs w:val="18"/>
          <w:u w:val="single"/>
        </w:rPr>
        <w:t>č.j.: 2025/230/MH/PK-SZ roz.                                                                                                                                   3/8</w:t>
      </w:r>
    </w:p>
    <w:p w14:paraId="672A0037">
      <w:pPr>
        <w:pStyle w:val="22"/>
        <w:shd w:val="clear" w:color="auto" w:fill="auto"/>
        <w:spacing w:line="220" w:lineRule="exact"/>
        <w:ind w:left="20" w:right="6240"/>
        <w:jc w:val="both"/>
        <w:rPr>
          <w:rFonts w:ascii="Arial" w:hAnsi="Arial" w:cs="Arial"/>
          <w:sz w:val="20"/>
          <w:szCs w:val="20"/>
        </w:rPr>
      </w:pPr>
    </w:p>
    <w:p w14:paraId="3278E5B3">
      <w:pPr>
        <w:pStyle w:val="22"/>
        <w:shd w:val="clear" w:color="auto" w:fill="auto"/>
        <w:spacing w:line="220" w:lineRule="exact"/>
        <w:ind w:left="20" w:right="6240"/>
        <w:jc w:val="both"/>
        <w:rPr>
          <w:rFonts w:ascii="Arial" w:hAnsi="Arial" w:cs="Arial"/>
          <w:sz w:val="20"/>
          <w:szCs w:val="20"/>
        </w:rPr>
      </w:pPr>
      <w:r>
        <w:rPr>
          <w:rFonts w:ascii="Arial" w:hAnsi="Arial" w:cs="Arial"/>
          <w:sz w:val="20"/>
          <w:szCs w:val="20"/>
        </w:rPr>
        <w:t>časť - NN podzemné vedenie Navrhované NN rozvody:</w:t>
      </w:r>
    </w:p>
    <w:p w14:paraId="6310DB18">
      <w:pPr>
        <w:pStyle w:val="22"/>
        <w:shd w:val="clear" w:color="auto" w:fill="auto"/>
        <w:spacing w:line="180" w:lineRule="exact"/>
        <w:ind w:left="20"/>
        <w:jc w:val="both"/>
        <w:rPr>
          <w:rFonts w:ascii="Arial" w:hAnsi="Arial" w:cs="Arial"/>
          <w:sz w:val="20"/>
          <w:szCs w:val="20"/>
        </w:rPr>
      </w:pPr>
      <w:r>
        <w:rPr>
          <w:rFonts w:ascii="Arial" w:hAnsi="Arial" w:cs="Arial"/>
          <w:sz w:val="20"/>
          <w:szCs w:val="20"/>
        </w:rPr>
        <w:t>Vedenie: (N)AYY-J 4x 240 mm2 v dĺžke 2x22 m (trasa)</w:t>
      </w:r>
    </w:p>
    <w:p w14:paraId="18B2041C">
      <w:pPr>
        <w:pStyle w:val="22"/>
        <w:shd w:val="clear" w:color="auto" w:fill="auto"/>
        <w:spacing w:line="220" w:lineRule="exact"/>
        <w:ind w:left="20" w:right="20"/>
        <w:jc w:val="both"/>
        <w:rPr>
          <w:rFonts w:ascii="Arial" w:hAnsi="Arial" w:cs="Arial"/>
          <w:sz w:val="20"/>
          <w:szCs w:val="20"/>
        </w:rPr>
      </w:pPr>
      <w:r>
        <w:rPr>
          <w:rFonts w:ascii="Arial" w:hAnsi="Arial" w:cs="Arial"/>
          <w:sz w:val="20"/>
          <w:szCs w:val="20"/>
        </w:rPr>
        <w:t>Z vývodu č. 1 až 2novovybudovanej kioskovej trafostanice sa vyvedie nové podzemné NN vedenie (N)AYY-J 4x240 mm2 o dĺžke 2x 22m, ktoré povedie na rekonštruovaný podperný bod PB č.l. NN podzemné vedenie bude slúžiť na napájanie existujúcej NN nadzemnej distribučnej siete.</w:t>
      </w:r>
    </w:p>
    <w:p w14:paraId="0054583A">
      <w:pPr>
        <w:pStyle w:val="22"/>
        <w:shd w:val="clear" w:color="auto" w:fill="auto"/>
        <w:spacing w:after="180" w:line="220" w:lineRule="exact"/>
        <w:ind w:left="20" w:right="20"/>
        <w:jc w:val="both"/>
        <w:rPr>
          <w:rFonts w:ascii="Arial" w:hAnsi="Arial" w:cs="Arial"/>
          <w:sz w:val="20"/>
          <w:szCs w:val="20"/>
        </w:rPr>
      </w:pPr>
      <w:r>
        <w:rPr>
          <w:rFonts w:ascii="Arial" w:hAnsi="Arial" w:cs="Arial"/>
          <w:sz w:val="20"/>
          <w:szCs w:val="20"/>
        </w:rPr>
        <w:t>Výkopové práce sa budú vykonávať strojne, okrem úsekov v ktorých sa nachádzajú inžinierske siete v takých prípadoch je potrebný ručný výkop. Po ukončení výkopových prác je potrebné terén uviesť do pôvodného stavu. Káblové NN vedenia budú vedené 1 meter od hraníc parciel.</w:t>
      </w:r>
    </w:p>
    <w:p w14:paraId="3EC9696F">
      <w:pPr>
        <w:pStyle w:val="22"/>
        <w:shd w:val="clear" w:color="auto" w:fill="auto"/>
        <w:spacing w:line="220" w:lineRule="exact"/>
        <w:ind w:left="20" w:right="5420"/>
        <w:jc w:val="both"/>
        <w:rPr>
          <w:rFonts w:ascii="Arial" w:hAnsi="Arial" w:cs="Arial"/>
          <w:sz w:val="20"/>
          <w:szCs w:val="20"/>
        </w:rPr>
      </w:pPr>
      <w:r>
        <w:rPr>
          <w:rFonts w:ascii="Arial" w:hAnsi="Arial" w:cs="Arial"/>
          <w:sz w:val="20"/>
          <w:szCs w:val="20"/>
        </w:rPr>
        <w:t>časť - NN nadzemné vedenie izolované Navrhované NN rozvody:</w:t>
      </w:r>
    </w:p>
    <w:p w14:paraId="15B3CF6E">
      <w:pPr>
        <w:pStyle w:val="22"/>
        <w:shd w:val="clear" w:color="auto" w:fill="auto"/>
        <w:spacing w:line="216" w:lineRule="exact"/>
        <w:ind w:left="20" w:right="20"/>
        <w:jc w:val="both"/>
        <w:rPr>
          <w:rFonts w:ascii="Arial" w:hAnsi="Arial" w:cs="Arial"/>
          <w:sz w:val="20"/>
          <w:szCs w:val="20"/>
        </w:rPr>
      </w:pPr>
    </w:p>
    <w:p w14:paraId="713B3461">
      <w:pPr>
        <w:pStyle w:val="22"/>
        <w:shd w:val="clear" w:color="auto" w:fill="auto"/>
        <w:spacing w:line="216" w:lineRule="exact"/>
        <w:ind w:left="20" w:right="20"/>
        <w:jc w:val="both"/>
        <w:rPr>
          <w:rFonts w:ascii="Arial" w:hAnsi="Arial" w:cs="Arial"/>
          <w:sz w:val="20"/>
          <w:szCs w:val="20"/>
        </w:rPr>
      </w:pPr>
      <w:r>
        <w:rPr>
          <w:rFonts w:ascii="Arial" w:hAnsi="Arial" w:cs="Arial"/>
          <w:sz w:val="20"/>
          <w:szCs w:val="20"/>
        </w:rPr>
        <w:t>Rekonštrukcia NN siete spočíva nahradení existujúceho NN nadzemného vedenia za nove izolované NN vedenie typu NFA2X. Ako vodiče budú použité nové samonosné izolované vodiče pre vonkajšie vedenie NFA2X 4x 120 +25 mm2 v úsekoch popísaných vyššie.</w:t>
      </w:r>
    </w:p>
    <w:p w14:paraId="07554F79">
      <w:pPr>
        <w:pStyle w:val="22"/>
        <w:shd w:val="clear" w:color="auto" w:fill="auto"/>
        <w:spacing w:line="216" w:lineRule="exact"/>
        <w:ind w:left="20" w:right="20"/>
        <w:jc w:val="both"/>
        <w:rPr>
          <w:rFonts w:ascii="Arial" w:hAnsi="Arial" w:cs="Arial"/>
          <w:sz w:val="20"/>
          <w:szCs w:val="20"/>
        </w:rPr>
      </w:pPr>
      <w:r>
        <w:rPr>
          <w:rFonts w:ascii="Arial" w:hAnsi="Arial" w:cs="Arial"/>
          <w:sz w:val="20"/>
          <w:szCs w:val="20"/>
        </w:rPr>
        <w:t>Ako nové podperné body budú použité predpäté betónové stožiare typu JB 10,5/6 kN, JB 10,5/10, JB 10,5/15, JB 10,5/20. Ako konzoly sa použijú, strmeňové objímky s okom, strmeňové objímky s hákom, konzoly 1200. Nové kotevne svorky sa použijú S0234S pre NFA2X 4x120+25. Nové nosné svorky sa použijú S0130.02 pre NFA2X. Z dôvodu výmeny podperného bodov PB č.1, sa znovunamontuje holé vedenie typu AlFe6 4x35 na nové konzoly 1200, vedenie bude ukončené na keramických izolátoroch VZK-1.</w:t>
      </w:r>
    </w:p>
    <w:p w14:paraId="6ED68D86">
      <w:pPr>
        <w:pStyle w:val="22"/>
        <w:shd w:val="clear" w:color="auto" w:fill="auto"/>
        <w:spacing w:line="216" w:lineRule="exact"/>
        <w:ind w:left="20" w:right="20"/>
        <w:jc w:val="both"/>
        <w:rPr>
          <w:rFonts w:ascii="Arial" w:hAnsi="Arial" w:cs="Arial"/>
          <w:sz w:val="20"/>
          <w:szCs w:val="20"/>
        </w:rPr>
      </w:pPr>
      <w:r>
        <w:rPr>
          <w:rFonts w:ascii="Arial" w:hAnsi="Arial" w:cs="Arial"/>
          <w:sz w:val="20"/>
          <w:szCs w:val="20"/>
        </w:rPr>
        <w:t>Na PB č. 12, č.29, sa umiestnia rozpojovacie skrine VRIS 1, a VRIS2 podľa výkresu č.4 - 1. pólová schéma NN. Zvod a vývod do skríň do VRIS na PB č.12 bude riešený vodičom NFA2X 4x120 mm2, na PB č. 29 sa požije zvod typu NAYY-J 4x70</w:t>
      </w:r>
    </w:p>
    <w:p w14:paraId="38005334">
      <w:pPr>
        <w:pStyle w:val="22"/>
        <w:shd w:val="clear" w:color="auto" w:fill="auto"/>
        <w:spacing w:after="180" w:line="216" w:lineRule="exact"/>
        <w:ind w:left="20" w:right="20"/>
        <w:jc w:val="both"/>
        <w:rPr>
          <w:rFonts w:ascii="Arial" w:hAnsi="Arial" w:cs="Arial"/>
          <w:sz w:val="20"/>
          <w:szCs w:val="20"/>
        </w:rPr>
      </w:pPr>
      <w:r>
        <w:rPr>
          <w:rFonts w:ascii="Arial" w:hAnsi="Arial" w:cs="Arial"/>
          <w:sz w:val="20"/>
          <w:szCs w:val="20"/>
        </w:rPr>
        <w:t>Vzdušné vedenie NFA2X bude uzemnené cez zvodiče prepätia NNO 10/280 + svorka SE45.1 pre izolované vedenie na TS, PB č.1, PB č. 10, PB č.12, PB č.17, PB č.24, PB č.28. Jednotlivé zvodiče prepätia sa uzemnia. Výkopové práce pre základy podperných bodov sa budú vykonávať strojom v zhoršených podmienkach ručne.</w:t>
      </w:r>
    </w:p>
    <w:p w14:paraId="7F84BFBD">
      <w:pPr>
        <w:pStyle w:val="22"/>
        <w:shd w:val="clear" w:color="auto" w:fill="auto"/>
        <w:spacing w:line="216" w:lineRule="exact"/>
        <w:ind w:left="20" w:right="6240"/>
        <w:jc w:val="both"/>
        <w:rPr>
          <w:rFonts w:ascii="Arial" w:hAnsi="Arial" w:cs="Arial"/>
          <w:sz w:val="20"/>
          <w:szCs w:val="20"/>
        </w:rPr>
      </w:pPr>
      <w:r>
        <w:rPr>
          <w:rFonts w:ascii="Arial" w:hAnsi="Arial" w:cs="Arial"/>
          <w:sz w:val="20"/>
          <w:szCs w:val="20"/>
        </w:rPr>
        <w:t>časť - Trafostanica kiosková Navrhovaná trafostanica:</w:t>
      </w:r>
    </w:p>
    <w:p w14:paraId="22BCAB4D">
      <w:pPr>
        <w:pStyle w:val="22"/>
        <w:shd w:val="clear" w:color="auto" w:fill="auto"/>
        <w:spacing w:after="180" w:line="216" w:lineRule="exact"/>
        <w:ind w:left="20" w:right="20"/>
        <w:jc w:val="both"/>
        <w:rPr>
          <w:rFonts w:ascii="Arial" w:hAnsi="Arial" w:cs="Arial"/>
          <w:sz w:val="20"/>
          <w:szCs w:val="20"/>
        </w:rPr>
      </w:pPr>
      <w:r>
        <w:rPr>
          <w:rFonts w:ascii="Arial" w:hAnsi="Arial" w:cs="Arial"/>
          <w:sz w:val="20"/>
          <w:szCs w:val="20"/>
        </w:rPr>
        <w:t>Kompletná kiosková trafostanica GKP-S1M koncová do 630 kVA s transformátorom 100 kVA, 22/0.40/0.231 kV dodávateľ BEZ. VN rozvádzač Siemens 8DJH 24 - BLUE GIS -( Prívod, Odbočka na transformátor) poistky: VN IEC 282-1 24 kV 10 A. Sedem vývodový NN rozvádzač v panelovom vyhotovení s prípojnicami 7x400A, hlavný deón Tmax XT4 250 so spúšťou Ekip LS/I nastavený na ÍR = 0,56x In pre TR 100 kVA. NN rozvádzač dimenzovaný do 1000 A, MTP 250/5, 0,5s. Prepoj medzi transformátorom a NN rozvádzačom je navrhnutý lx3xNSGAFÔU 1x240 + NSGAFÔU 1x240 dl. 5 m.</w:t>
      </w:r>
    </w:p>
    <w:p w14:paraId="40A9CB9F">
      <w:pPr>
        <w:spacing w:after="0" w:line="240" w:lineRule="auto"/>
        <w:jc w:val="both"/>
        <w:rPr>
          <w:rFonts w:asciiTheme="minorHAnsi" w:hAnsiTheme="minorHAnsi" w:cstheme="minorHAnsi"/>
          <w:color w:val="000000"/>
        </w:rPr>
      </w:pPr>
    </w:p>
    <w:p w14:paraId="4CF56050">
      <w:pPr>
        <w:spacing w:after="0" w:line="240" w:lineRule="auto"/>
        <w:jc w:val="both"/>
        <w:rPr>
          <w:rFonts w:asciiTheme="minorHAnsi" w:hAnsiTheme="minorHAnsi" w:cstheme="minorHAnsi"/>
          <w:b/>
          <w:bCs/>
        </w:rPr>
      </w:pPr>
      <w:r>
        <w:rPr>
          <w:rFonts w:asciiTheme="minorHAnsi" w:hAnsiTheme="minorHAnsi" w:cstheme="minorHAnsi"/>
          <w:b/>
          <w:bCs/>
        </w:rPr>
        <w:t xml:space="preserve">Údaje zo zisťovacieho konania: </w:t>
      </w:r>
    </w:p>
    <w:p w14:paraId="7C7CB6D3">
      <w:pPr>
        <w:spacing w:after="0" w:line="240" w:lineRule="auto"/>
        <w:jc w:val="both"/>
        <w:rPr>
          <w:rFonts w:asciiTheme="minorHAnsi" w:hAnsiTheme="minorHAnsi" w:cstheme="minorHAnsi"/>
          <w:i/>
          <w:iCs/>
        </w:rPr>
      </w:pPr>
      <w:r>
        <w:rPr>
          <w:rFonts w:asciiTheme="minorHAnsi" w:hAnsiTheme="minorHAnsi" w:cstheme="minorHAnsi"/>
        </w:rPr>
        <w:t xml:space="preserve">Pre navrhovanú činnosť  </w:t>
      </w:r>
      <w:r>
        <w:rPr>
          <w:rFonts w:asciiTheme="minorHAnsi" w:hAnsiTheme="minorHAnsi" w:cstheme="minorHAnsi"/>
          <w:iCs/>
        </w:rPr>
        <w:t xml:space="preserve">nebolo </w:t>
      </w:r>
      <w:r>
        <w:rPr>
          <w:rFonts w:asciiTheme="minorHAnsi" w:hAnsiTheme="minorHAnsi" w:cstheme="minorHAnsi"/>
        </w:rPr>
        <w:t xml:space="preserve">vedené zisťovacie konanie podľa zákona č. 24/2006 Z. z. o posudzovaní vplyvov na životné prostredie a o zmene a doplnení niektorých zákonov v znení neskorších predpisov. </w:t>
      </w:r>
    </w:p>
    <w:p w14:paraId="577EADB8">
      <w:pPr>
        <w:spacing w:after="0" w:line="240" w:lineRule="auto"/>
        <w:jc w:val="both"/>
        <w:rPr>
          <w:b/>
          <w:lang w:eastAsia="en-US"/>
        </w:rPr>
      </w:pPr>
    </w:p>
    <w:p w14:paraId="31DB496E">
      <w:pPr>
        <w:spacing w:after="0" w:line="276" w:lineRule="auto"/>
        <w:jc w:val="both"/>
        <w:rPr>
          <w:rFonts w:cs="Calibri"/>
          <w:b/>
          <w:bCs/>
          <w:iCs/>
        </w:rPr>
      </w:pPr>
      <w:r>
        <w:rPr>
          <w:rFonts w:cs="Calibri"/>
          <w:b/>
          <w:bCs/>
          <w:iCs/>
        </w:rPr>
        <w:t>Zoznam záväzných stanovísk a  záväzných vyjadrení uplatnených v konaní:</w:t>
      </w:r>
    </w:p>
    <w:p w14:paraId="449CD5C8">
      <w:pPr>
        <w:spacing w:after="0" w:line="276" w:lineRule="auto"/>
        <w:jc w:val="both"/>
        <w:rPr>
          <w:rFonts w:cs="Calibri"/>
          <w:iCs/>
        </w:rPr>
      </w:pPr>
      <w:r>
        <w:rPr>
          <w:rFonts w:cs="Calibri"/>
          <w:iCs/>
        </w:rPr>
        <w:t>- Obec Podkriváň, záväzné stanovisko č.263/2025 zo dňa 24.07.2025,</w:t>
      </w:r>
    </w:p>
    <w:p w14:paraId="78372F2C">
      <w:pPr>
        <w:spacing w:after="0" w:line="276" w:lineRule="auto"/>
        <w:jc w:val="both"/>
        <w:rPr>
          <w:rFonts w:cs="Calibri"/>
          <w:iCs/>
        </w:rPr>
      </w:pPr>
      <w:r>
        <w:rPr>
          <w:rFonts w:cs="Calibri"/>
          <w:iCs/>
        </w:rPr>
        <w:t>- Obec Detvianska Huta, stanovisko č.1877/2025 zo dňa 22.07.2025,</w:t>
      </w:r>
    </w:p>
    <w:p w14:paraId="5ED17624">
      <w:pPr>
        <w:spacing w:after="0" w:line="276" w:lineRule="auto"/>
        <w:jc w:val="both"/>
        <w:rPr>
          <w:rFonts w:cs="Calibri"/>
          <w:iCs/>
        </w:rPr>
      </w:pPr>
      <w:r>
        <w:rPr>
          <w:rFonts w:cs="Calibri"/>
          <w:iCs/>
        </w:rPr>
        <w:t>- Obec Dobroč, oznámenie č. OcÚ/97/2025-2 zo dňa 25.07.2025,</w:t>
      </w:r>
    </w:p>
    <w:p w14:paraId="03502573">
      <w:pPr>
        <w:spacing w:after="0" w:line="276" w:lineRule="auto"/>
        <w:jc w:val="both"/>
        <w:rPr>
          <w:rFonts w:cs="Calibri"/>
          <w:iCs/>
        </w:rPr>
      </w:pPr>
      <w:r>
        <w:rPr>
          <w:rFonts w:cs="Calibri"/>
          <w:iCs/>
        </w:rPr>
        <w:t>- Stredoslovenská distribučná, a.s. Žilina, vyjadrenie č. SW19022 zo dňa 16.06.2025,</w:t>
      </w:r>
    </w:p>
    <w:p w14:paraId="350A8DD1">
      <w:pPr>
        <w:spacing w:after="0" w:line="276" w:lineRule="auto"/>
        <w:jc w:val="both"/>
        <w:rPr>
          <w:rFonts w:cs="Calibri"/>
          <w:iCs/>
        </w:rPr>
      </w:pPr>
      <w:r>
        <w:rPr>
          <w:rFonts w:cs="Calibri"/>
          <w:iCs/>
        </w:rPr>
        <w:t xml:space="preserve">- StVPS, a.s., Banská Bystrica, vyjadrenie pre stavebný zámer č.862/2025 zo dňa 11.06.2025, </w:t>
      </w:r>
    </w:p>
    <w:p w14:paraId="06E03A3D">
      <w:pPr>
        <w:jc w:val="both"/>
        <w:rPr>
          <w:rFonts w:ascii="Arial" w:hAnsi="Arial" w:cs="Arial"/>
          <w:sz w:val="18"/>
          <w:szCs w:val="18"/>
          <w:u w:val="single"/>
        </w:rPr>
      </w:pPr>
    </w:p>
    <w:p w14:paraId="72ECA68F">
      <w:pPr>
        <w:jc w:val="both"/>
        <w:rPr>
          <w:rFonts w:ascii="Arial" w:hAnsi="Arial" w:cs="Arial"/>
          <w:sz w:val="18"/>
          <w:szCs w:val="18"/>
          <w:u w:val="single"/>
        </w:rPr>
      </w:pPr>
      <w:r>
        <w:rPr>
          <w:rFonts w:ascii="Arial" w:hAnsi="Arial" w:cs="Arial"/>
          <w:sz w:val="18"/>
          <w:szCs w:val="18"/>
          <w:u w:val="single"/>
        </w:rPr>
        <w:t>č.j.: 2025/230/MH/PK-SZ roz.                                                                                                                                   4/8</w:t>
      </w:r>
    </w:p>
    <w:p w14:paraId="10D26801">
      <w:pPr>
        <w:spacing w:after="0" w:line="276" w:lineRule="auto"/>
        <w:ind w:left="142" w:hanging="142"/>
        <w:jc w:val="both"/>
        <w:rPr>
          <w:rFonts w:ascii="Arial" w:hAnsi="Arial" w:cs="Arial"/>
          <w:iCs/>
          <w:sz w:val="20"/>
          <w:szCs w:val="20"/>
        </w:rPr>
      </w:pPr>
      <w:r>
        <w:rPr>
          <w:rFonts w:cs="Calibri"/>
          <w:iCs/>
        </w:rPr>
        <w:t xml:space="preserve">- </w:t>
      </w:r>
      <w:r>
        <w:rPr>
          <w:rFonts w:ascii="Arial" w:hAnsi="Arial" w:cs="Arial"/>
          <w:iCs/>
          <w:sz w:val="20"/>
          <w:szCs w:val="20"/>
        </w:rPr>
        <w:t>Slovenský pozemkový fond Bratislava, stanovisko č. SPFS 117300/2025/740/004, SPFZ 170614/2025 zo dňa 8.9.2025,</w:t>
      </w:r>
    </w:p>
    <w:p w14:paraId="4819D5A2">
      <w:pPr>
        <w:spacing w:after="0" w:line="276" w:lineRule="auto"/>
        <w:ind w:left="142" w:hanging="142"/>
        <w:jc w:val="both"/>
        <w:rPr>
          <w:rFonts w:ascii="Arial" w:hAnsi="Arial" w:cs="Arial"/>
          <w:iCs/>
          <w:sz w:val="20"/>
          <w:szCs w:val="20"/>
        </w:rPr>
      </w:pPr>
      <w:r>
        <w:rPr>
          <w:rFonts w:ascii="Arial" w:hAnsi="Arial" w:cs="Arial"/>
          <w:iCs/>
          <w:sz w:val="20"/>
          <w:szCs w:val="20"/>
        </w:rPr>
        <w:t>- Okresný úrad Detva, OSŽP, úsek ŠSOPaK, vyjadrenie č.OU-DT-OSZP-2025/000828-02 zo dňa 26.06.2025</w:t>
      </w:r>
    </w:p>
    <w:p w14:paraId="11F14C30">
      <w:pPr>
        <w:spacing w:after="0" w:line="276" w:lineRule="auto"/>
        <w:ind w:left="142" w:hanging="142"/>
        <w:jc w:val="both"/>
        <w:rPr>
          <w:rFonts w:ascii="Arial" w:hAnsi="Arial" w:cs="Arial"/>
          <w:iCs/>
          <w:sz w:val="20"/>
          <w:szCs w:val="20"/>
        </w:rPr>
      </w:pPr>
      <w:r>
        <w:rPr>
          <w:rFonts w:ascii="Arial" w:hAnsi="Arial" w:cs="Arial"/>
          <w:iCs/>
          <w:sz w:val="20"/>
          <w:szCs w:val="20"/>
        </w:rPr>
        <w:t>- Okresný úrad Detva, OSŽP, úsek ŠSOH, vyjadrenie  č.OU-DT-OSZP-2025/000832-02 zo dňa 19.06.2025</w:t>
      </w:r>
    </w:p>
    <w:p w14:paraId="6FC0750C">
      <w:pPr>
        <w:spacing w:after="0" w:line="276" w:lineRule="auto"/>
        <w:ind w:left="142" w:hanging="142"/>
        <w:jc w:val="both"/>
        <w:rPr>
          <w:rFonts w:ascii="Arial" w:hAnsi="Arial" w:cs="Arial"/>
          <w:iCs/>
          <w:sz w:val="20"/>
          <w:szCs w:val="20"/>
        </w:rPr>
      </w:pPr>
      <w:r>
        <w:rPr>
          <w:rFonts w:ascii="Arial" w:hAnsi="Arial" w:cs="Arial"/>
          <w:iCs/>
          <w:sz w:val="20"/>
          <w:szCs w:val="20"/>
        </w:rPr>
        <w:t>- Okresný úrad Detva, OSŽP, úsek ŠVS, záväzné stanovisko  č.OU-DT-OSZP-2025/000826-002 zo dňa 01.07.2025,</w:t>
      </w:r>
    </w:p>
    <w:p w14:paraId="5BF2E4E4">
      <w:pPr>
        <w:spacing w:after="0" w:line="276" w:lineRule="auto"/>
        <w:ind w:left="142" w:hanging="142"/>
        <w:jc w:val="both"/>
        <w:rPr>
          <w:rFonts w:ascii="Arial" w:hAnsi="Arial" w:cs="Arial"/>
          <w:iCs/>
          <w:sz w:val="20"/>
          <w:szCs w:val="20"/>
        </w:rPr>
      </w:pPr>
      <w:r>
        <w:rPr>
          <w:rFonts w:ascii="Arial" w:hAnsi="Arial" w:cs="Arial"/>
          <w:iCs/>
          <w:sz w:val="20"/>
          <w:szCs w:val="20"/>
        </w:rPr>
        <w:t>- TUV SUD Slovakia, s.r.o., Bratislava, odborné stanovisko č. 7165067835/30/25/ET/OS/T zo dňa 22.08.2025,</w:t>
      </w:r>
    </w:p>
    <w:p w14:paraId="4FC224CF">
      <w:pPr>
        <w:spacing w:after="0" w:line="276" w:lineRule="auto"/>
        <w:jc w:val="both"/>
        <w:rPr>
          <w:rFonts w:ascii="Arial" w:hAnsi="Arial" w:cs="Arial"/>
          <w:iCs/>
          <w:sz w:val="20"/>
          <w:szCs w:val="20"/>
        </w:rPr>
      </w:pPr>
      <w:r>
        <w:rPr>
          <w:rFonts w:ascii="Arial" w:hAnsi="Arial" w:cs="Arial"/>
          <w:iCs/>
          <w:sz w:val="20"/>
          <w:szCs w:val="20"/>
        </w:rPr>
        <w:t>- Krajský pamiatkový úrad, záväzné stanovisko č. S-PUSR-010599/2025/BRE,MIŇ zo dňa 26.06.2025,</w:t>
      </w:r>
    </w:p>
    <w:p w14:paraId="660AFA28">
      <w:pPr>
        <w:spacing w:after="0" w:line="276" w:lineRule="auto"/>
        <w:ind w:left="142" w:hanging="142"/>
        <w:jc w:val="both"/>
        <w:rPr>
          <w:rFonts w:ascii="Arial" w:hAnsi="Arial" w:cs="Arial"/>
          <w:bCs/>
          <w:iCs/>
          <w:sz w:val="20"/>
          <w:szCs w:val="20"/>
        </w:rPr>
      </w:pPr>
      <w:r>
        <w:rPr>
          <w:rFonts w:ascii="Arial" w:hAnsi="Arial" w:cs="Arial"/>
          <w:b/>
          <w:bCs/>
          <w:iCs/>
          <w:sz w:val="20"/>
          <w:szCs w:val="20"/>
        </w:rPr>
        <w:t xml:space="preserve">- </w:t>
      </w:r>
      <w:r>
        <w:rPr>
          <w:rFonts w:ascii="Arial" w:hAnsi="Arial" w:cs="Arial"/>
          <w:bCs/>
          <w:iCs/>
          <w:sz w:val="20"/>
          <w:szCs w:val="20"/>
        </w:rPr>
        <w:t>Regionálny úrad verejného zdravotníctva Zvolen, odpoveď č. RÚVZZV/OHŽPaZ/2240/4178/2025 zo dňa 16.06.2025,</w:t>
      </w:r>
    </w:p>
    <w:p w14:paraId="73CD5B23">
      <w:pPr>
        <w:spacing w:after="0" w:line="276" w:lineRule="auto"/>
        <w:ind w:left="142" w:hanging="142"/>
        <w:jc w:val="both"/>
        <w:rPr>
          <w:rFonts w:ascii="Arial" w:hAnsi="Arial" w:cs="Arial"/>
          <w:bCs/>
          <w:iCs/>
          <w:sz w:val="20"/>
          <w:szCs w:val="20"/>
        </w:rPr>
      </w:pPr>
      <w:r>
        <w:rPr>
          <w:rFonts w:ascii="Arial" w:hAnsi="Arial" w:cs="Arial"/>
          <w:b/>
          <w:bCs/>
          <w:iCs/>
          <w:sz w:val="20"/>
          <w:szCs w:val="20"/>
        </w:rPr>
        <w:t>-</w:t>
      </w:r>
      <w:r>
        <w:rPr>
          <w:rFonts w:ascii="Arial" w:hAnsi="Arial" w:cs="Arial"/>
          <w:bCs/>
          <w:iCs/>
          <w:sz w:val="20"/>
          <w:szCs w:val="20"/>
        </w:rPr>
        <w:t xml:space="preserve"> MO SR, Bratislava, stanovisko č.SEMaI-EL13/2-11-1956/2025 zo dňa 17.6.2025,</w:t>
      </w:r>
    </w:p>
    <w:p w14:paraId="39AB2FBD">
      <w:pPr>
        <w:spacing w:after="0" w:line="276" w:lineRule="auto"/>
        <w:ind w:left="142" w:hanging="142"/>
        <w:jc w:val="both"/>
        <w:rPr>
          <w:rFonts w:ascii="Arial" w:hAnsi="Arial" w:cs="Arial"/>
          <w:bCs/>
          <w:iCs/>
          <w:sz w:val="20"/>
          <w:szCs w:val="20"/>
        </w:rPr>
      </w:pPr>
      <w:r>
        <w:rPr>
          <w:rFonts w:ascii="Arial" w:hAnsi="Arial" w:cs="Arial"/>
          <w:b/>
          <w:bCs/>
          <w:iCs/>
          <w:sz w:val="20"/>
          <w:szCs w:val="20"/>
        </w:rPr>
        <w:t>-</w:t>
      </w:r>
      <w:r>
        <w:rPr>
          <w:rFonts w:ascii="Arial" w:hAnsi="Arial" w:cs="Arial"/>
          <w:bCs/>
          <w:iCs/>
          <w:sz w:val="20"/>
          <w:szCs w:val="20"/>
        </w:rPr>
        <w:t xml:space="preserve"> CETIN Networks, s.r.o. Bratislava, zo dňa 19.05.2025,</w:t>
      </w:r>
    </w:p>
    <w:p w14:paraId="1C547067">
      <w:pPr>
        <w:spacing w:after="0" w:line="276" w:lineRule="auto"/>
        <w:ind w:left="142" w:hanging="142"/>
        <w:jc w:val="both"/>
        <w:rPr>
          <w:rFonts w:ascii="Arial" w:hAnsi="Arial" w:cs="Arial"/>
          <w:bCs/>
          <w:iCs/>
          <w:sz w:val="20"/>
          <w:szCs w:val="20"/>
        </w:rPr>
      </w:pPr>
      <w:r>
        <w:rPr>
          <w:rFonts w:ascii="Arial" w:hAnsi="Arial" w:cs="Arial"/>
          <w:b/>
          <w:bCs/>
          <w:iCs/>
          <w:sz w:val="20"/>
          <w:szCs w:val="20"/>
        </w:rPr>
        <w:t xml:space="preserve">- </w:t>
      </w:r>
      <w:r>
        <w:rPr>
          <w:rFonts w:ascii="Arial" w:hAnsi="Arial" w:cs="Arial"/>
          <w:bCs/>
          <w:iCs/>
          <w:sz w:val="20"/>
          <w:szCs w:val="20"/>
        </w:rPr>
        <w:t xml:space="preserve">ORANGE Slovensko, a.s., Bratislava, č. BB-1038/2025 zo dňa 5.6.2025, </w:t>
      </w:r>
    </w:p>
    <w:p w14:paraId="62773514">
      <w:pPr>
        <w:spacing w:after="0" w:line="276" w:lineRule="auto"/>
        <w:ind w:left="142" w:hanging="142"/>
        <w:jc w:val="both"/>
        <w:rPr>
          <w:rFonts w:ascii="Arial" w:hAnsi="Arial" w:cs="Arial"/>
          <w:bCs/>
          <w:iCs/>
          <w:sz w:val="20"/>
          <w:szCs w:val="20"/>
        </w:rPr>
      </w:pPr>
      <w:r>
        <w:rPr>
          <w:rFonts w:ascii="Arial" w:hAnsi="Arial" w:cs="Arial"/>
          <w:b/>
          <w:bCs/>
          <w:iCs/>
          <w:sz w:val="20"/>
          <w:szCs w:val="20"/>
        </w:rPr>
        <w:t>-</w:t>
      </w:r>
      <w:r>
        <w:rPr>
          <w:rFonts w:ascii="Arial" w:hAnsi="Arial" w:cs="Arial"/>
          <w:bCs/>
          <w:iCs/>
          <w:sz w:val="20"/>
          <w:szCs w:val="20"/>
        </w:rPr>
        <w:t xml:space="preserve"> Energotel, a.s., Bratislava, vyjadrenie zo dňa 14.5.2025, </w:t>
      </w:r>
    </w:p>
    <w:p w14:paraId="4E2BAC05">
      <w:pPr>
        <w:spacing w:after="0" w:line="276" w:lineRule="auto"/>
        <w:jc w:val="both"/>
        <w:rPr>
          <w:rFonts w:cs="Calibri"/>
          <w:b/>
          <w:bCs/>
          <w:iCs/>
        </w:rPr>
      </w:pPr>
      <w:r>
        <w:rPr>
          <w:rFonts w:cs="Calibri"/>
          <w:b/>
          <w:bCs/>
          <w:iCs/>
        </w:rPr>
        <w:t>Podmienky pre uskutočnenie stavby:</w:t>
      </w:r>
    </w:p>
    <w:p w14:paraId="316DE97C">
      <w:pPr>
        <w:pStyle w:val="22"/>
        <w:numPr>
          <w:ilvl w:val="3"/>
          <w:numId w:val="3"/>
        </w:numPr>
        <w:shd w:val="clear" w:color="auto" w:fill="auto"/>
        <w:tabs>
          <w:tab w:val="left" w:pos="300"/>
        </w:tabs>
        <w:spacing w:before="0" w:after="0" w:line="202" w:lineRule="exact"/>
        <w:ind w:left="284" w:right="20" w:hanging="284"/>
        <w:jc w:val="both"/>
        <w:rPr>
          <w:rFonts w:ascii="Arial" w:hAnsi="Arial" w:cs="Arial"/>
          <w:sz w:val="20"/>
          <w:szCs w:val="20"/>
        </w:rPr>
      </w:pPr>
      <w:r>
        <w:rPr>
          <w:rFonts w:ascii="Arial" w:hAnsi="Arial" w:cs="Arial"/>
          <w:sz w:val="20"/>
          <w:szCs w:val="20"/>
        </w:rPr>
        <w:t>Stavba bude uskutočnená podľa overeného projektu predmetnej stavby. V súlade s §65 Stavebného zákona projekt stavby na žiadosť stavebníka overuje správny orgán, ktorý vydal rozhodnutie                     o stavebnom zámere, t.j. stavebný úrad. Za správnosť, úplnosť a realizovateľnosť stavby je zodpovedný projektant.</w:t>
      </w:r>
    </w:p>
    <w:p w14:paraId="60A314C9">
      <w:pPr>
        <w:pStyle w:val="22"/>
        <w:numPr>
          <w:ilvl w:val="3"/>
          <w:numId w:val="3"/>
        </w:numPr>
        <w:shd w:val="clear" w:color="auto" w:fill="auto"/>
        <w:tabs>
          <w:tab w:val="left" w:pos="320"/>
        </w:tabs>
        <w:spacing w:before="0" w:after="0" w:line="202" w:lineRule="exact"/>
        <w:ind w:left="284" w:right="20" w:hanging="284"/>
        <w:jc w:val="both"/>
        <w:rPr>
          <w:rFonts w:ascii="Arial" w:hAnsi="Arial" w:cs="Arial"/>
          <w:sz w:val="20"/>
          <w:szCs w:val="20"/>
        </w:rPr>
      </w:pPr>
      <w:r>
        <w:rPr>
          <w:rFonts w:ascii="Arial" w:hAnsi="Arial" w:cs="Arial"/>
          <w:sz w:val="20"/>
          <w:szCs w:val="20"/>
        </w:rPr>
        <w:t>Stavebník je povinný v súlade s § 30 ods. 3 písm. a) stavebného zákona stavebnému úradu oznámiť   začatie stavby.</w:t>
      </w:r>
    </w:p>
    <w:p w14:paraId="6B613B95">
      <w:pPr>
        <w:pStyle w:val="22"/>
        <w:numPr>
          <w:ilvl w:val="3"/>
          <w:numId w:val="3"/>
        </w:numPr>
        <w:shd w:val="clear" w:color="auto" w:fill="auto"/>
        <w:tabs>
          <w:tab w:val="left" w:pos="316"/>
        </w:tabs>
        <w:spacing w:before="0" w:after="0" w:line="202" w:lineRule="exact"/>
        <w:ind w:left="284" w:right="20" w:hanging="284"/>
        <w:jc w:val="both"/>
        <w:rPr>
          <w:rFonts w:ascii="Arial" w:hAnsi="Arial" w:cs="Arial"/>
          <w:sz w:val="20"/>
          <w:szCs w:val="20"/>
        </w:rPr>
      </w:pPr>
      <w:r>
        <w:rPr>
          <w:rFonts w:ascii="Arial" w:hAnsi="Arial" w:cs="Arial"/>
          <w:sz w:val="20"/>
          <w:szCs w:val="20"/>
        </w:rPr>
        <w:t>Stavebník zabezpečí vytýčenie priestorovej polohy stavby právnickou alebo fyzickou osobou na to oprávnenou podľa § 42 stavebného zákona.</w:t>
      </w:r>
    </w:p>
    <w:p w14:paraId="0C37B7CC">
      <w:pPr>
        <w:pStyle w:val="22"/>
        <w:numPr>
          <w:ilvl w:val="3"/>
          <w:numId w:val="3"/>
        </w:numPr>
        <w:shd w:val="clear" w:color="auto" w:fill="auto"/>
        <w:tabs>
          <w:tab w:val="left" w:pos="312"/>
        </w:tabs>
        <w:spacing w:before="0" w:after="0" w:line="202" w:lineRule="exact"/>
        <w:ind w:left="284" w:right="20" w:hanging="284"/>
        <w:jc w:val="both"/>
        <w:rPr>
          <w:rFonts w:ascii="Arial" w:hAnsi="Arial" w:cs="Arial"/>
          <w:sz w:val="20"/>
          <w:szCs w:val="20"/>
        </w:rPr>
      </w:pPr>
      <w:r>
        <w:rPr>
          <w:rFonts w:ascii="Arial" w:hAnsi="Arial" w:cs="Arial"/>
          <w:sz w:val="20"/>
          <w:szCs w:val="20"/>
        </w:rPr>
        <w:t>Pred začiatkom stavebných prác stavebník zabezpečí vytýčenie všetkých podzemných vedení na stavenisku. Pri styku s podzemnými i nadzemnými vedeniami a v ich ochranných pásmach treba zabezpečiť ich ochranu prostredníctvom správcov týchto zariadení a počas prác postupovať v súlade s ich podmienkami.</w:t>
      </w:r>
    </w:p>
    <w:p w14:paraId="5092B98B">
      <w:pPr>
        <w:pStyle w:val="22"/>
        <w:numPr>
          <w:ilvl w:val="3"/>
          <w:numId w:val="3"/>
        </w:numPr>
        <w:shd w:val="clear" w:color="auto" w:fill="auto"/>
        <w:tabs>
          <w:tab w:val="left" w:pos="312"/>
        </w:tabs>
        <w:spacing w:before="0" w:after="0" w:line="202" w:lineRule="exact"/>
        <w:ind w:left="284" w:right="20" w:hanging="284"/>
        <w:jc w:val="both"/>
        <w:rPr>
          <w:rFonts w:ascii="Arial" w:hAnsi="Arial" w:cs="Arial"/>
          <w:sz w:val="20"/>
          <w:szCs w:val="20"/>
        </w:rPr>
      </w:pPr>
      <w:r>
        <w:rPr>
          <w:rFonts w:ascii="Arial" w:hAnsi="Arial" w:cs="Arial"/>
          <w:sz w:val="20"/>
          <w:szCs w:val="20"/>
        </w:rPr>
        <w:t>Stavba bude uskutočnená zhotoviteľom. Zhotoviteľ musí mať oprávnenie na stavebnú činnosť. Stavebník v súlade s § 60 ods. 1 písm. h) stavebného zákona oznámi stavebnému úradu názov a adresu dodávateľa najneskôr do 15 dní od uzatvorenia zmluvy.</w:t>
      </w:r>
    </w:p>
    <w:p w14:paraId="27E4D853">
      <w:pPr>
        <w:pStyle w:val="22"/>
        <w:numPr>
          <w:ilvl w:val="3"/>
          <w:numId w:val="3"/>
        </w:numPr>
        <w:shd w:val="clear" w:color="auto" w:fill="auto"/>
        <w:tabs>
          <w:tab w:val="left" w:pos="316"/>
        </w:tabs>
        <w:spacing w:before="0" w:after="0" w:line="202" w:lineRule="exact"/>
        <w:ind w:left="284" w:right="20" w:hanging="284"/>
        <w:jc w:val="both"/>
        <w:rPr>
          <w:rFonts w:ascii="Arial" w:hAnsi="Arial" w:cs="Arial"/>
          <w:sz w:val="20"/>
          <w:szCs w:val="20"/>
        </w:rPr>
      </w:pPr>
      <w:r>
        <w:rPr>
          <w:rFonts w:ascii="Arial" w:hAnsi="Arial" w:cs="Arial"/>
          <w:sz w:val="20"/>
          <w:szCs w:val="20"/>
        </w:rPr>
        <w:t>Stavenisko má byť vytvorené v nevyhnutnom rozsahu v trase stavby na pozemkoch dotknutých stavbou, v katastrálnom území Podkriváň, Dobroč, Detvianska Huta v súlade s ustanoveniami § 6 stavebného zákona.</w:t>
      </w:r>
    </w:p>
    <w:p w14:paraId="114B9EEE">
      <w:pPr>
        <w:pStyle w:val="22"/>
        <w:numPr>
          <w:ilvl w:val="3"/>
          <w:numId w:val="3"/>
        </w:numPr>
        <w:shd w:val="clear" w:color="auto" w:fill="auto"/>
        <w:tabs>
          <w:tab w:val="left" w:pos="308"/>
        </w:tabs>
        <w:spacing w:before="0" w:after="0" w:line="202" w:lineRule="exact"/>
        <w:ind w:left="284" w:right="20" w:hanging="284"/>
        <w:jc w:val="both"/>
        <w:rPr>
          <w:rFonts w:ascii="Arial" w:hAnsi="Arial" w:cs="Arial"/>
          <w:sz w:val="20"/>
          <w:szCs w:val="20"/>
        </w:rPr>
      </w:pPr>
      <w:r>
        <w:rPr>
          <w:rFonts w:ascii="Arial" w:hAnsi="Arial" w:cs="Arial"/>
          <w:sz w:val="20"/>
          <w:szCs w:val="20"/>
        </w:rPr>
        <w:t>Pri uskutočňovaní stavby je nutné dodržiavať predpisy týkajúce sa bezpečnosti práce a technických zariadení, najmä vyhlášku č. 147/2013 Z.z., ktorou sa ustanovujú podrobnosti na zaistenie bezpečnosti á ochrany zdravia pri stavebných prácach a prácach s nimi súvisiacich a o odbornej spôsobilosti na výkon niektorých pracovných činností v znení neskorších predpisov a dbať na ochranu zdravia a osôb na stavenisku.</w:t>
      </w:r>
    </w:p>
    <w:p w14:paraId="1D1CBB79">
      <w:pPr>
        <w:pStyle w:val="22"/>
        <w:numPr>
          <w:ilvl w:val="3"/>
          <w:numId w:val="3"/>
        </w:numPr>
        <w:shd w:val="clear" w:color="auto" w:fill="auto"/>
        <w:tabs>
          <w:tab w:val="left" w:pos="304"/>
        </w:tabs>
        <w:spacing w:before="0" w:after="0" w:line="202" w:lineRule="exact"/>
        <w:ind w:left="284" w:right="20" w:hanging="284"/>
        <w:jc w:val="both"/>
        <w:rPr>
          <w:rFonts w:ascii="Arial" w:hAnsi="Arial" w:cs="Arial"/>
          <w:sz w:val="20"/>
          <w:szCs w:val="20"/>
        </w:rPr>
      </w:pPr>
      <w:r>
        <w:rPr>
          <w:rFonts w:ascii="Arial" w:hAnsi="Arial" w:cs="Arial"/>
          <w:sz w:val="20"/>
          <w:szCs w:val="20"/>
        </w:rPr>
        <w:t>Pri uskutočňovaní stavby môže dôjsť k odkrytiu archeologických nálezov. Ich nález je potrebné zahlásiť príslušnému orgánu pamiatkovej ochrany a stavebnému úradu.</w:t>
      </w:r>
    </w:p>
    <w:p w14:paraId="7250CE78">
      <w:pPr>
        <w:pStyle w:val="22"/>
        <w:numPr>
          <w:ilvl w:val="3"/>
          <w:numId w:val="3"/>
        </w:numPr>
        <w:shd w:val="clear" w:color="auto" w:fill="auto"/>
        <w:tabs>
          <w:tab w:val="left" w:pos="308"/>
        </w:tabs>
        <w:spacing w:before="0" w:after="0" w:line="202" w:lineRule="exact"/>
        <w:ind w:left="284" w:right="20" w:hanging="284"/>
        <w:jc w:val="both"/>
        <w:rPr>
          <w:rFonts w:ascii="Arial" w:hAnsi="Arial" w:cs="Arial"/>
          <w:sz w:val="20"/>
          <w:szCs w:val="20"/>
        </w:rPr>
      </w:pPr>
      <w:r>
        <w:rPr>
          <w:rFonts w:ascii="Arial" w:hAnsi="Arial" w:cs="Arial"/>
          <w:sz w:val="20"/>
          <w:szCs w:val="20"/>
        </w:rPr>
        <w:t>Pri uskutočňovaní musia byť dodržané príslušné ustanovenia vyhlášky č. 532/2002 Z.z., ktorou sa ustanovujú podrobnosti o všeobecných technických požiadavkách na výstavbu a o všeobecných technických požiadavkách na stavby užívané osobami s obmedzenou schopnosťou pohybu a orientácie a príslušné technické normy.</w:t>
      </w:r>
    </w:p>
    <w:p w14:paraId="210DD6AB">
      <w:pPr>
        <w:pStyle w:val="22"/>
        <w:numPr>
          <w:ilvl w:val="3"/>
          <w:numId w:val="3"/>
        </w:numPr>
        <w:shd w:val="clear" w:color="auto" w:fill="auto"/>
        <w:tabs>
          <w:tab w:val="left" w:pos="300"/>
        </w:tabs>
        <w:spacing w:before="0" w:after="0" w:line="202" w:lineRule="exact"/>
        <w:ind w:left="284" w:right="20" w:hanging="284"/>
        <w:jc w:val="both"/>
        <w:rPr>
          <w:rFonts w:ascii="Arial" w:hAnsi="Arial" w:cs="Arial"/>
          <w:sz w:val="20"/>
          <w:szCs w:val="20"/>
        </w:rPr>
      </w:pPr>
      <w:r>
        <w:rPr>
          <w:rFonts w:ascii="Arial" w:hAnsi="Arial" w:cs="Arial"/>
          <w:sz w:val="20"/>
          <w:szCs w:val="20"/>
        </w:rPr>
        <w:t>Stavebník je povinný zabezpečiť, aby pri realizácii stavby boli použité stavebné výrobky, vhodné na použitie v stavbe podľa osobitných predpisov. Doklady o preukázaní vhodnosti stavebných výrobkov predloží pri kolaudácii stavby.</w:t>
      </w:r>
    </w:p>
    <w:p w14:paraId="2AF12860">
      <w:pPr>
        <w:pStyle w:val="22"/>
        <w:numPr>
          <w:ilvl w:val="3"/>
          <w:numId w:val="3"/>
        </w:numPr>
        <w:shd w:val="clear" w:color="auto" w:fill="auto"/>
        <w:tabs>
          <w:tab w:val="left" w:pos="316"/>
        </w:tabs>
        <w:spacing w:before="0" w:after="0" w:line="202" w:lineRule="exact"/>
        <w:ind w:left="284" w:right="20" w:hanging="284"/>
        <w:jc w:val="both"/>
        <w:rPr>
          <w:rFonts w:ascii="Arial" w:hAnsi="Arial" w:cs="Arial"/>
          <w:sz w:val="20"/>
          <w:szCs w:val="20"/>
        </w:rPr>
      </w:pPr>
      <w:r>
        <w:t>O</w:t>
      </w:r>
      <w:r>
        <w:rPr>
          <w:rFonts w:ascii="Arial" w:hAnsi="Arial" w:cs="Arial"/>
          <w:sz w:val="20"/>
          <w:szCs w:val="20"/>
        </w:rPr>
        <w:t xml:space="preserve"> priebehu stavby je potrebné viesť stavebný denník podľa § 10 stavebného zákona a v rozsahu prílohy č. 20 k vyhláške č. 60/2025 Z.z. Úradu pre územné plánovanie a výstavbu Slovenskej republiky o štruktúre a prevádzke informačného systému územného plánovania a výstavby, o obsahu podaní a obsahu a rozsahu dokumentácie stavby.</w:t>
      </w:r>
    </w:p>
    <w:p w14:paraId="00A6C4F1">
      <w:pPr>
        <w:pStyle w:val="22"/>
        <w:numPr>
          <w:ilvl w:val="3"/>
          <w:numId w:val="3"/>
        </w:numPr>
        <w:shd w:val="clear" w:color="auto" w:fill="auto"/>
        <w:tabs>
          <w:tab w:val="left" w:pos="316"/>
        </w:tabs>
        <w:spacing w:before="0" w:after="0" w:line="202" w:lineRule="exact"/>
        <w:ind w:left="284" w:right="20" w:hanging="284"/>
        <w:jc w:val="both"/>
        <w:rPr>
          <w:rFonts w:ascii="Arial" w:hAnsi="Arial" w:cs="Arial"/>
          <w:sz w:val="20"/>
          <w:szCs w:val="20"/>
        </w:rPr>
      </w:pPr>
      <w:r>
        <w:rPr>
          <w:rFonts w:ascii="Arial" w:hAnsi="Arial" w:cs="Arial"/>
          <w:sz w:val="20"/>
          <w:szCs w:val="20"/>
        </w:rPr>
        <w:t>Na stavbe musí byť k dispozícií dokumentácia a všetky doklady týkajúce sa uskutočňovanej stavby.</w:t>
      </w:r>
    </w:p>
    <w:p w14:paraId="18DE11C4">
      <w:pPr>
        <w:pStyle w:val="22"/>
        <w:numPr>
          <w:ilvl w:val="3"/>
          <w:numId w:val="3"/>
        </w:numPr>
        <w:shd w:val="clear" w:color="auto" w:fill="auto"/>
        <w:tabs>
          <w:tab w:val="left" w:pos="316"/>
        </w:tabs>
        <w:spacing w:before="0" w:after="0" w:line="202" w:lineRule="exact"/>
        <w:ind w:left="284" w:right="20" w:hanging="284"/>
        <w:jc w:val="both"/>
        <w:rPr>
          <w:rFonts w:ascii="Arial" w:hAnsi="Arial" w:cs="Arial"/>
          <w:sz w:val="20"/>
          <w:szCs w:val="20"/>
        </w:rPr>
      </w:pPr>
      <w:r>
        <w:rPr>
          <w:rFonts w:ascii="Arial" w:hAnsi="Arial" w:cs="Arial"/>
          <w:sz w:val="20"/>
          <w:szCs w:val="20"/>
        </w:rPr>
        <w:t>Pri uskutočňovaní a užívaní stavby sa musí dbať na ochranu životného prostredia aj tým, že stavebník nesmie nadmernými negatívnymi vplyvmi obťažovať okolie stavby, napr. prácou v noci, hlukom, prašnosťou, zápachmi, vibráciami a pod.</w:t>
      </w:r>
    </w:p>
    <w:p w14:paraId="1A5C593C">
      <w:pPr>
        <w:pStyle w:val="22"/>
        <w:numPr>
          <w:ilvl w:val="3"/>
          <w:numId w:val="3"/>
        </w:numPr>
        <w:shd w:val="clear" w:color="auto" w:fill="auto"/>
        <w:tabs>
          <w:tab w:val="left" w:pos="296"/>
        </w:tabs>
        <w:spacing w:before="0" w:after="0" w:line="202" w:lineRule="exact"/>
        <w:ind w:left="284" w:hanging="284"/>
        <w:jc w:val="both"/>
        <w:rPr>
          <w:rFonts w:ascii="Arial" w:hAnsi="Arial" w:cs="Arial"/>
          <w:sz w:val="20"/>
          <w:szCs w:val="20"/>
        </w:rPr>
      </w:pPr>
      <w:r>
        <w:rPr>
          <w:rFonts w:ascii="Arial" w:hAnsi="Arial" w:cs="Arial"/>
          <w:sz w:val="20"/>
          <w:szCs w:val="20"/>
        </w:rPr>
        <w:t>Pri realizácii stavby nesmie dôjsť k znečisťovaniu komunikácií.</w:t>
      </w:r>
    </w:p>
    <w:p w14:paraId="015A83D3">
      <w:pPr>
        <w:ind w:left="360" w:hanging="360"/>
        <w:jc w:val="both"/>
        <w:rPr>
          <w:rFonts w:ascii="Arial" w:hAnsi="Arial" w:cs="Arial"/>
          <w:sz w:val="18"/>
          <w:szCs w:val="18"/>
          <w:u w:val="single"/>
        </w:rPr>
      </w:pPr>
      <w:r>
        <w:rPr>
          <w:rFonts w:ascii="Arial" w:hAnsi="Arial" w:cs="Arial"/>
          <w:sz w:val="18"/>
          <w:szCs w:val="18"/>
          <w:u w:val="single"/>
        </w:rPr>
        <w:t>č.j.: 2025/230/MH/PK-SZ roz.                                                                                                                                   5/8</w:t>
      </w:r>
    </w:p>
    <w:p w14:paraId="63D80748">
      <w:pPr>
        <w:pStyle w:val="22"/>
        <w:numPr>
          <w:ilvl w:val="3"/>
          <w:numId w:val="3"/>
        </w:numPr>
        <w:shd w:val="clear" w:color="auto" w:fill="auto"/>
        <w:tabs>
          <w:tab w:val="left" w:pos="300"/>
        </w:tabs>
        <w:spacing w:before="0" w:after="0" w:line="202" w:lineRule="exact"/>
        <w:ind w:left="284" w:right="20" w:hanging="284"/>
        <w:jc w:val="both"/>
        <w:rPr>
          <w:rFonts w:ascii="Arial" w:hAnsi="Arial" w:cs="Arial"/>
          <w:sz w:val="20"/>
          <w:szCs w:val="20"/>
        </w:rPr>
      </w:pPr>
      <w:r>
        <w:rPr>
          <w:rFonts w:ascii="Arial" w:hAnsi="Arial" w:cs="Arial"/>
          <w:sz w:val="20"/>
          <w:szCs w:val="20"/>
        </w:rPr>
        <w:t>Stavebník je povinný uhradiť všetky prípadné škody na cudzích objektoch a zariadeniach, ktoré vzniknú počas realizácie stavby.</w:t>
      </w:r>
    </w:p>
    <w:p w14:paraId="76EDFFAB">
      <w:pPr>
        <w:pStyle w:val="22"/>
        <w:numPr>
          <w:ilvl w:val="3"/>
          <w:numId w:val="3"/>
        </w:numPr>
        <w:shd w:val="clear" w:color="auto" w:fill="auto"/>
        <w:tabs>
          <w:tab w:val="left" w:pos="300"/>
        </w:tabs>
        <w:spacing w:before="0" w:after="0" w:line="202" w:lineRule="exact"/>
        <w:ind w:left="284" w:right="20" w:hanging="284"/>
        <w:jc w:val="both"/>
        <w:rPr>
          <w:rFonts w:ascii="Arial" w:hAnsi="Arial" w:cs="Arial"/>
          <w:sz w:val="20"/>
          <w:szCs w:val="20"/>
        </w:rPr>
      </w:pPr>
      <w:r>
        <w:rPr>
          <w:rFonts w:ascii="Arial" w:hAnsi="Arial" w:cs="Arial"/>
          <w:sz w:val="20"/>
          <w:szCs w:val="20"/>
        </w:rPr>
        <w:t>Stavba bude dokončená najneskôr do 2 rokov odo dňa nadobudnutia právoplatnosti overovacej doložky projektu stavby.</w:t>
      </w:r>
    </w:p>
    <w:p w14:paraId="0CAA8A14">
      <w:pPr>
        <w:pStyle w:val="22"/>
        <w:numPr>
          <w:ilvl w:val="3"/>
          <w:numId w:val="3"/>
        </w:numPr>
        <w:shd w:val="clear" w:color="auto" w:fill="auto"/>
        <w:tabs>
          <w:tab w:val="left" w:pos="300"/>
        </w:tabs>
        <w:spacing w:before="0" w:after="0" w:line="202" w:lineRule="exact"/>
        <w:ind w:left="284" w:right="20" w:hanging="284"/>
        <w:jc w:val="both"/>
        <w:rPr>
          <w:rFonts w:ascii="Arial" w:hAnsi="Arial" w:cs="Arial"/>
          <w:sz w:val="20"/>
          <w:szCs w:val="20"/>
        </w:rPr>
      </w:pPr>
      <w:r>
        <w:rPr>
          <w:rFonts w:ascii="Arial" w:hAnsi="Arial" w:cs="Arial"/>
          <w:sz w:val="20"/>
          <w:szCs w:val="20"/>
        </w:rPr>
        <w:t>Po dokončení stavby stavebník zabezpečí porealizačné zameranie stavby a požiada stavebný úrad o kolaudáciu stavby.</w:t>
      </w:r>
    </w:p>
    <w:p w14:paraId="057FC7DC">
      <w:pPr>
        <w:pStyle w:val="22"/>
        <w:numPr>
          <w:ilvl w:val="3"/>
          <w:numId w:val="3"/>
        </w:numPr>
        <w:shd w:val="clear" w:color="auto" w:fill="auto"/>
        <w:tabs>
          <w:tab w:val="left" w:pos="308"/>
        </w:tabs>
        <w:spacing w:before="0" w:after="0" w:line="202" w:lineRule="exact"/>
        <w:ind w:left="284" w:right="20" w:hanging="284"/>
        <w:jc w:val="both"/>
        <w:rPr>
          <w:rFonts w:ascii="Arial" w:hAnsi="Arial" w:cs="Arial"/>
          <w:sz w:val="20"/>
          <w:szCs w:val="20"/>
        </w:rPr>
      </w:pPr>
      <w:r>
        <w:rPr>
          <w:rFonts w:ascii="Arial" w:hAnsi="Arial" w:cs="Arial"/>
          <w:sz w:val="20"/>
          <w:szCs w:val="20"/>
        </w:rPr>
        <w:t>Stavbu je možné užívať len na základe právoplatného kolaudačného rozhodnutia.</w:t>
      </w:r>
    </w:p>
    <w:p w14:paraId="1222E4F1">
      <w:pPr>
        <w:pStyle w:val="22"/>
        <w:numPr>
          <w:ilvl w:val="3"/>
          <w:numId w:val="3"/>
        </w:numPr>
        <w:shd w:val="clear" w:color="auto" w:fill="auto"/>
        <w:tabs>
          <w:tab w:val="left" w:pos="304"/>
        </w:tabs>
        <w:spacing w:before="0" w:after="0" w:line="202" w:lineRule="exact"/>
        <w:ind w:left="284" w:right="20" w:hanging="284"/>
        <w:jc w:val="both"/>
        <w:rPr>
          <w:rFonts w:ascii="Arial" w:hAnsi="Arial" w:cs="Arial"/>
          <w:sz w:val="20"/>
          <w:szCs w:val="20"/>
        </w:rPr>
      </w:pPr>
      <w:r>
        <w:rPr>
          <w:rFonts w:ascii="Arial" w:hAnsi="Arial" w:cs="Arial"/>
          <w:sz w:val="20"/>
          <w:szCs w:val="20"/>
        </w:rPr>
        <w:t>Stavebník je pri uskutočňovaní stavby povinný dodržať požiadavky dotknutých orgánov uplatnené v záväzných stanoviskách, ak nie sú určené správnymi rozhodnutiami a požiadavky uplatnené vo vyjadreniach dotknutých právnických osôb:</w:t>
      </w:r>
    </w:p>
    <w:p w14:paraId="5F889CC9">
      <w:pPr>
        <w:spacing w:after="0" w:line="276" w:lineRule="auto"/>
        <w:jc w:val="both"/>
        <w:rPr>
          <w:rFonts w:cs="Calibri"/>
          <w:b/>
          <w:bCs/>
          <w:iCs/>
        </w:rPr>
      </w:pPr>
    </w:p>
    <w:p w14:paraId="16F3AF34">
      <w:pPr>
        <w:spacing w:line="276" w:lineRule="auto"/>
        <w:ind w:left="360"/>
        <w:jc w:val="both"/>
        <w:rPr>
          <w:rFonts w:ascii="Arial" w:hAnsi="Arial" w:cs="Arial"/>
          <w:b/>
          <w:bCs/>
          <w:iCs/>
          <w:sz w:val="20"/>
          <w:szCs w:val="20"/>
        </w:rPr>
      </w:pPr>
      <w:r>
        <w:rPr>
          <w:rFonts w:ascii="Arial" w:hAnsi="Arial" w:cs="Arial"/>
          <w:b/>
          <w:bCs/>
          <w:iCs/>
          <w:sz w:val="20"/>
          <w:szCs w:val="20"/>
        </w:rPr>
        <w:t>Obec Dobroč, č.OcÚ/97/2025-2 zo dňa 25.07-2025:</w:t>
      </w:r>
    </w:p>
    <w:p w14:paraId="1D950BC0">
      <w:pPr>
        <w:pStyle w:val="22"/>
        <w:numPr>
          <w:ilvl w:val="0"/>
          <w:numId w:val="4"/>
        </w:numPr>
        <w:shd w:val="clear" w:color="auto" w:fill="auto"/>
        <w:tabs>
          <w:tab w:val="left" w:pos="300"/>
        </w:tabs>
        <w:spacing w:before="0" w:after="0" w:line="202" w:lineRule="exact"/>
        <w:ind w:right="20"/>
        <w:jc w:val="both"/>
        <w:rPr>
          <w:rFonts w:ascii="Arial" w:hAnsi="Arial" w:cs="Arial"/>
          <w:sz w:val="20"/>
          <w:szCs w:val="20"/>
        </w:rPr>
      </w:pPr>
      <w:r>
        <w:rPr>
          <w:rFonts w:ascii="Arial" w:hAnsi="Arial" w:cs="Arial"/>
          <w:sz w:val="20"/>
          <w:szCs w:val="20"/>
        </w:rPr>
        <w:t>Všetky nehnuteľnosti uvedené v PD k predmetnej stavbe uviesť do pôvodného stavu,</w:t>
      </w:r>
    </w:p>
    <w:p w14:paraId="166DF8DA">
      <w:pPr>
        <w:pStyle w:val="22"/>
        <w:numPr>
          <w:ilvl w:val="0"/>
          <w:numId w:val="4"/>
        </w:numPr>
        <w:shd w:val="clear" w:color="auto" w:fill="auto"/>
        <w:tabs>
          <w:tab w:val="left" w:pos="300"/>
        </w:tabs>
        <w:spacing w:before="0" w:after="0" w:line="202" w:lineRule="exact"/>
        <w:ind w:right="20"/>
        <w:jc w:val="both"/>
        <w:rPr>
          <w:rFonts w:ascii="Arial" w:hAnsi="Arial" w:cs="Arial"/>
          <w:sz w:val="20"/>
          <w:szCs w:val="20"/>
        </w:rPr>
      </w:pPr>
      <w:r>
        <w:rPr>
          <w:rFonts w:ascii="Arial" w:hAnsi="Arial" w:cs="Arial"/>
          <w:sz w:val="20"/>
          <w:szCs w:val="20"/>
        </w:rPr>
        <w:t>Osobitnú pozornosť venovať a opakovane, podľa aktuálneho stavu opraviť miesto zásahu do telesa miestnej komunikácie,</w:t>
      </w:r>
    </w:p>
    <w:p w14:paraId="66037C5D">
      <w:pPr>
        <w:pStyle w:val="22"/>
        <w:numPr>
          <w:ilvl w:val="0"/>
          <w:numId w:val="4"/>
        </w:numPr>
        <w:shd w:val="clear" w:color="auto" w:fill="auto"/>
        <w:tabs>
          <w:tab w:val="left" w:pos="300"/>
        </w:tabs>
        <w:spacing w:before="0" w:after="0" w:line="202" w:lineRule="exact"/>
        <w:ind w:right="20"/>
        <w:jc w:val="both"/>
        <w:rPr>
          <w:rFonts w:ascii="Arial" w:hAnsi="Arial" w:cs="Arial"/>
          <w:sz w:val="20"/>
          <w:szCs w:val="20"/>
        </w:rPr>
      </w:pPr>
      <w:r>
        <w:rPr>
          <w:rFonts w:ascii="Arial" w:hAnsi="Arial" w:cs="Arial"/>
          <w:sz w:val="20"/>
          <w:szCs w:val="20"/>
        </w:rPr>
        <w:t>Začatie a ukončenie stavby vopred ohlásiť tunajšiemu úradu,</w:t>
      </w:r>
    </w:p>
    <w:p w14:paraId="52EEF28A">
      <w:pPr>
        <w:pStyle w:val="22"/>
        <w:numPr>
          <w:ilvl w:val="0"/>
          <w:numId w:val="4"/>
        </w:numPr>
        <w:shd w:val="clear" w:color="auto" w:fill="auto"/>
        <w:tabs>
          <w:tab w:val="left" w:pos="300"/>
        </w:tabs>
        <w:spacing w:before="0" w:after="0" w:line="202" w:lineRule="exact"/>
        <w:ind w:right="20"/>
        <w:jc w:val="both"/>
        <w:rPr>
          <w:rFonts w:ascii="Arial" w:hAnsi="Arial" w:cs="Arial"/>
          <w:sz w:val="20"/>
          <w:szCs w:val="20"/>
        </w:rPr>
      </w:pPr>
      <w:r>
        <w:rPr>
          <w:rFonts w:ascii="Arial" w:hAnsi="Arial" w:cs="Arial"/>
          <w:sz w:val="20"/>
          <w:szCs w:val="20"/>
        </w:rPr>
        <w:t xml:space="preserve">Dodržať všetky podmienky uvedené v predloženej PD, </w:t>
      </w:r>
    </w:p>
    <w:p w14:paraId="5DAED87A">
      <w:pPr>
        <w:spacing w:line="276" w:lineRule="auto"/>
        <w:ind w:left="360"/>
        <w:jc w:val="both"/>
        <w:rPr>
          <w:rFonts w:ascii="Arial" w:hAnsi="Arial" w:cs="Arial"/>
          <w:b/>
          <w:bCs/>
          <w:iCs/>
          <w:sz w:val="20"/>
          <w:szCs w:val="20"/>
        </w:rPr>
      </w:pPr>
    </w:p>
    <w:p w14:paraId="1A328FE2">
      <w:pPr>
        <w:spacing w:line="276" w:lineRule="auto"/>
        <w:ind w:left="360"/>
        <w:jc w:val="both"/>
        <w:rPr>
          <w:rFonts w:ascii="Arial" w:hAnsi="Arial" w:cs="Arial"/>
          <w:b/>
          <w:bCs/>
          <w:iCs/>
          <w:sz w:val="20"/>
          <w:szCs w:val="20"/>
        </w:rPr>
      </w:pPr>
      <w:r>
        <w:rPr>
          <w:rFonts w:ascii="Arial" w:hAnsi="Arial" w:cs="Arial"/>
          <w:b/>
          <w:bCs/>
          <w:iCs/>
          <w:sz w:val="20"/>
          <w:szCs w:val="20"/>
        </w:rPr>
        <w:t>Stredoslovenská energetika, a.s. Žilina, č. SW 19022 zo dňa 16.06.2025:</w:t>
      </w:r>
    </w:p>
    <w:p w14:paraId="20C68361">
      <w:pPr>
        <w:pStyle w:val="22"/>
        <w:shd w:val="clear" w:color="auto" w:fill="auto"/>
        <w:tabs>
          <w:tab w:val="left" w:pos="300"/>
        </w:tabs>
        <w:spacing w:before="0" w:after="0" w:line="202" w:lineRule="exact"/>
        <w:ind w:left="851" w:right="20" w:hanging="142"/>
        <w:jc w:val="both"/>
        <w:rPr>
          <w:rFonts w:ascii="Arial" w:hAnsi="Arial" w:cs="Arial"/>
          <w:sz w:val="20"/>
          <w:szCs w:val="20"/>
        </w:rPr>
      </w:pPr>
      <w:r>
        <w:rPr>
          <w:rFonts w:ascii="Arial" w:hAnsi="Arial" w:cs="Arial"/>
          <w:sz w:val="20"/>
          <w:szCs w:val="20"/>
        </w:rPr>
        <w:t>1.  S technickým riešením podľa predloženej projektovej dokumentácie súhlasíme,</w:t>
      </w:r>
    </w:p>
    <w:p w14:paraId="402961F8">
      <w:pPr>
        <w:pStyle w:val="22"/>
        <w:shd w:val="clear" w:color="auto" w:fill="auto"/>
        <w:tabs>
          <w:tab w:val="left" w:pos="300"/>
        </w:tabs>
        <w:spacing w:before="0" w:after="0" w:line="202" w:lineRule="exact"/>
        <w:ind w:left="851" w:right="20" w:firstLine="142"/>
        <w:jc w:val="both"/>
        <w:rPr>
          <w:rFonts w:ascii="Arial" w:hAnsi="Arial" w:cs="Arial"/>
          <w:sz w:val="20"/>
          <w:szCs w:val="20"/>
        </w:rPr>
      </w:pPr>
      <w:r>
        <w:rPr>
          <w:rFonts w:ascii="Arial" w:hAnsi="Arial" w:cs="Arial"/>
          <w:sz w:val="20"/>
          <w:szCs w:val="20"/>
        </w:rPr>
        <w:t>Hlavné smery navrhovaného technického riešenia:</w:t>
      </w:r>
    </w:p>
    <w:p w14:paraId="24FA562C">
      <w:pPr>
        <w:pStyle w:val="22"/>
        <w:shd w:val="clear" w:color="auto" w:fill="auto"/>
        <w:tabs>
          <w:tab w:val="left" w:pos="300"/>
        </w:tabs>
        <w:spacing w:before="0" w:after="0" w:line="202" w:lineRule="exact"/>
        <w:ind w:left="851" w:right="20" w:firstLine="142"/>
        <w:jc w:val="both"/>
        <w:rPr>
          <w:rFonts w:ascii="Arial" w:hAnsi="Arial" w:cs="Arial"/>
          <w:sz w:val="20"/>
          <w:szCs w:val="20"/>
        </w:rPr>
      </w:pPr>
      <w:r>
        <w:rPr>
          <w:rFonts w:ascii="Arial" w:hAnsi="Arial" w:cs="Arial"/>
          <w:sz w:val="20"/>
          <w:szCs w:val="20"/>
        </w:rPr>
        <w:t>SO 01 – Líniové vedenie a trafostanica</w:t>
      </w:r>
    </w:p>
    <w:p w14:paraId="42BF1F52">
      <w:pPr>
        <w:pStyle w:val="22"/>
        <w:shd w:val="clear" w:color="auto" w:fill="auto"/>
        <w:tabs>
          <w:tab w:val="left" w:pos="300"/>
        </w:tabs>
        <w:spacing w:before="0" w:after="0" w:line="202" w:lineRule="exact"/>
        <w:ind w:left="851" w:right="20" w:firstLine="142"/>
        <w:jc w:val="both"/>
        <w:rPr>
          <w:rFonts w:ascii="Arial" w:hAnsi="Arial" w:cs="Arial"/>
          <w:sz w:val="20"/>
          <w:szCs w:val="20"/>
        </w:rPr>
      </w:pPr>
      <w:r>
        <w:rPr>
          <w:rFonts w:ascii="Arial" w:hAnsi="Arial" w:cs="Arial"/>
          <w:sz w:val="20"/>
          <w:szCs w:val="20"/>
        </w:rPr>
        <w:t>časť - VN podzemné vedenie , dĺ. trasy:                        493 m</w:t>
      </w:r>
    </w:p>
    <w:p w14:paraId="49652A3D">
      <w:pPr>
        <w:pStyle w:val="22"/>
        <w:shd w:val="clear" w:color="auto" w:fill="auto"/>
        <w:tabs>
          <w:tab w:val="left" w:pos="300"/>
        </w:tabs>
        <w:spacing w:before="0" w:after="0" w:line="202" w:lineRule="exact"/>
        <w:ind w:left="851" w:right="20" w:firstLine="142"/>
        <w:jc w:val="both"/>
        <w:rPr>
          <w:rFonts w:ascii="Arial" w:hAnsi="Arial" w:cs="Arial"/>
          <w:sz w:val="20"/>
          <w:szCs w:val="20"/>
        </w:rPr>
      </w:pPr>
      <w:r>
        <w:rPr>
          <w:rFonts w:ascii="Arial" w:hAnsi="Arial" w:cs="Arial"/>
          <w:sz w:val="20"/>
          <w:szCs w:val="20"/>
        </w:rPr>
        <w:t>časť – NN podzemné vedenie, dĺ. trasy:                          22 m</w:t>
      </w:r>
    </w:p>
    <w:p w14:paraId="58A5BA9D">
      <w:pPr>
        <w:pStyle w:val="22"/>
        <w:shd w:val="clear" w:color="auto" w:fill="auto"/>
        <w:tabs>
          <w:tab w:val="left" w:pos="300"/>
        </w:tabs>
        <w:spacing w:before="0" w:after="0" w:line="202" w:lineRule="exact"/>
        <w:ind w:left="851" w:right="20" w:firstLine="142"/>
        <w:jc w:val="both"/>
        <w:rPr>
          <w:rFonts w:ascii="Arial" w:hAnsi="Arial" w:cs="Arial"/>
          <w:sz w:val="20"/>
          <w:szCs w:val="20"/>
        </w:rPr>
      </w:pPr>
      <w:r>
        <w:rPr>
          <w:rFonts w:ascii="Arial" w:hAnsi="Arial" w:cs="Arial"/>
          <w:sz w:val="20"/>
          <w:szCs w:val="20"/>
        </w:rPr>
        <w:t xml:space="preserve">časť – NN nadzemné vedenie izolované, dĺ. trasy:       1590 m  </w:t>
      </w:r>
    </w:p>
    <w:p w14:paraId="11A473EC">
      <w:pPr>
        <w:pStyle w:val="22"/>
        <w:shd w:val="clear" w:color="auto" w:fill="auto"/>
        <w:tabs>
          <w:tab w:val="left" w:pos="300"/>
        </w:tabs>
        <w:spacing w:before="0" w:after="0" w:line="202" w:lineRule="exact"/>
        <w:ind w:left="851" w:right="20" w:firstLine="142"/>
        <w:jc w:val="both"/>
        <w:rPr>
          <w:rFonts w:ascii="Arial" w:hAnsi="Arial" w:cs="Arial"/>
          <w:sz w:val="20"/>
          <w:szCs w:val="20"/>
        </w:rPr>
      </w:pPr>
      <w:r>
        <w:rPr>
          <w:rFonts w:ascii="Arial" w:hAnsi="Arial" w:cs="Arial"/>
          <w:sz w:val="20"/>
          <w:szCs w:val="20"/>
        </w:rPr>
        <w:t xml:space="preserve">časť – trafostanica kiosková :                                             1 ks      </w:t>
      </w:r>
    </w:p>
    <w:p w14:paraId="7C32AF74">
      <w:pPr>
        <w:pStyle w:val="22"/>
        <w:shd w:val="clear" w:color="auto" w:fill="auto"/>
        <w:tabs>
          <w:tab w:val="left" w:pos="300"/>
        </w:tabs>
        <w:spacing w:before="0" w:after="0" w:line="202" w:lineRule="exact"/>
        <w:ind w:left="993" w:right="20" w:hanging="284"/>
        <w:jc w:val="both"/>
        <w:rPr>
          <w:rFonts w:ascii="Arial" w:hAnsi="Arial" w:cs="Arial"/>
          <w:sz w:val="20"/>
          <w:szCs w:val="20"/>
        </w:rPr>
      </w:pPr>
      <w:r>
        <w:rPr>
          <w:rFonts w:ascii="Arial" w:hAnsi="Arial" w:cs="Arial"/>
          <w:sz w:val="20"/>
          <w:szCs w:val="20"/>
        </w:rPr>
        <w:t>2. V celkovej situácii stavby žiadame vyznačiť jestvujúce podzemné a nadzemné siete   a zariadenia technického vybavenia.</w:t>
      </w:r>
    </w:p>
    <w:p w14:paraId="65E5038A">
      <w:pPr>
        <w:pStyle w:val="22"/>
        <w:shd w:val="clear" w:color="auto" w:fill="auto"/>
        <w:tabs>
          <w:tab w:val="left" w:pos="300"/>
        </w:tabs>
        <w:spacing w:before="0" w:after="0" w:line="202" w:lineRule="exact"/>
        <w:ind w:left="993" w:right="20" w:hanging="284"/>
        <w:jc w:val="both"/>
        <w:rPr>
          <w:rFonts w:ascii="Arial" w:hAnsi="Arial" w:cs="Arial"/>
          <w:sz w:val="20"/>
          <w:szCs w:val="20"/>
        </w:rPr>
      </w:pPr>
      <w:r>
        <w:rPr>
          <w:rFonts w:ascii="Arial" w:hAnsi="Arial" w:cs="Arial"/>
          <w:sz w:val="20"/>
          <w:szCs w:val="20"/>
        </w:rPr>
        <w:t>3. Stavbu požadujeme navrhnúť v zmysle platnej legislatívy a v súlade s Katalógom prvkov a funkčných celkov SSE-D, ktorý je prístupný na stránkach www.ssd.sk .</w:t>
      </w:r>
    </w:p>
    <w:p w14:paraId="40884C27">
      <w:pPr>
        <w:pStyle w:val="22"/>
        <w:shd w:val="clear" w:color="auto" w:fill="auto"/>
        <w:tabs>
          <w:tab w:val="left" w:pos="300"/>
        </w:tabs>
        <w:spacing w:before="0" w:after="0" w:line="202" w:lineRule="exact"/>
        <w:ind w:left="993" w:right="20" w:hanging="284"/>
        <w:jc w:val="both"/>
        <w:rPr>
          <w:rFonts w:ascii="Arial" w:hAnsi="Arial" w:cs="Arial"/>
          <w:sz w:val="20"/>
          <w:szCs w:val="20"/>
        </w:rPr>
      </w:pPr>
      <w:r>
        <w:rPr>
          <w:rFonts w:ascii="Arial" w:hAnsi="Arial" w:cs="Arial"/>
          <w:sz w:val="20"/>
          <w:szCs w:val="20"/>
        </w:rPr>
        <w:t>4.  Ďalší stupeň projektovej dokumentácie žiadame predložiť na posúdenie.</w:t>
      </w:r>
    </w:p>
    <w:p w14:paraId="544079F1">
      <w:pPr>
        <w:pStyle w:val="22"/>
        <w:shd w:val="clear" w:color="auto" w:fill="auto"/>
        <w:tabs>
          <w:tab w:val="left" w:pos="300"/>
        </w:tabs>
        <w:spacing w:before="0" w:after="0" w:line="202" w:lineRule="exact"/>
        <w:ind w:left="993" w:right="20" w:hanging="284"/>
        <w:jc w:val="both"/>
        <w:rPr>
          <w:rFonts w:ascii="Arial" w:hAnsi="Arial" w:cs="Arial"/>
          <w:sz w:val="20"/>
          <w:szCs w:val="20"/>
        </w:rPr>
      </w:pPr>
    </w:p>
    <w:p w14:paraId="48190346">
      <w:pPr>
        <w:pStyle w:val="22"/>
        <w:shd w:val="clear" w:color="auto" w:fill="auto"/>
        <w:tabs>
          <w:tab w:val="left" w:pos="426"/>
        </w:tabs>
        <w:spacing w:before="0" w:after="0" w:line="202" w:lineRule="exact"/>
        <w:ind w:left="426" w:right="20" w:hanging="851"/>
        <w:jc w:val="both"/>
        <w:rPr>
          <w:rFonts w:ascii="Arial" w:hAnsi="Arial" w:cs="Arial"/>
          <w:b/>
          <w:sz w:val="20"/>
          <w:szCs w:val="20"/>
        </w:rPr>
      </w:pPr>
      <w:r>
        <w:rPr>
          <w:rFonts w:ascii="Arial" w:hAnsi="Arial" w:cs="Arial"/>
          <w:b/>
          <w:sz w:val="20"/>
          <w:szCs w:val="20"/>
        </w:rPr>
        <w:t xml:space="preserve">              Slovenský pozemkový fond Bratislava, č. SPFS117300/2025/740/004, SPFZ 170614/2025 zo dňa   08.09.2025:</w:t>
      </w:r>
    </w:p>
    <w:p w14:paraId="4CF153B7">
      <w:pPr>
        <w:pStyle w:val="22"/>
        <w:shd w:val="clear" w:color="auto" w:fill="auto"/>
        <w:tabs>
          <w:tab w:val="left" w:pos="300"/>
        </w:tabs>
        <w:spacing w:before="0" w:after="0" w:line="202" w:lineRule="exact"/>
        <w:ind w:left="284" w:right="20" w:hanging="709"/>
        <w:jc w:val="both"/>
        <w:rPr>
          <w:rFonts w:ascii="Arial" w:hAnsi="Arial" w:cs="Arial"/>
          <w:b/>
          <w:sz w:val="20"/>
          <w:szCs w:val="20"/>
        </w:rPr>
      </w:pPr>
    </w:p>
    <w:p w14:paraId="72D7405B">
      <w:pPr>
        <w:pStyle w:val="22"/>
        <w:numPr>
          <w:ilvl w:val="0"/>
          <w:numId w:val="1"/>
        </w:numPr>
        <w:shd w:val="clear" w:color="auto" w:fill="auto"/>
        <w:tabs>
          <w:tab w:val="left" w:pos="300"/>
        </w:tabs>
        <w:spacing w:before="0" w:after="0" w:line="202" w:lineRule="exact"/>
        <w:ind w:right="20"/>
        <w:jc w:val="both"/>
        <w:rPr>
          <w:rFonts w:ascii="Arial" w:hAnsi="Arial" w:cs="Arial"/>
          <w:sz w:val="20"/>
          <w:szCs w:val="20"/>
        </w:rPr>
      </w:pPr>
      <w:r>
        <w:rPr>
          <w:rFonts w:ascii="Arial" w:hAnsi="Arial" w:cs="Arial"/>
          <w:sz w:val="20"/>
          <w:szCs w:val="20"/>
        </w:rPr>
        <w:t>stavebník dotknuté pozemky SR/NV bezodkladne po vydaní kolaudačného rozhodnutia podá návrh na záznam vecného bremena do katastra nehnuteľností a informuje SPF o podaní návrhu na záznam vecného bremena do katastra nehnuteľností. Súčasťou oznámenia o podaní návrhu na záznam vecného bremena do katastra nehnuteľností bude na náklady stavebníka vyhotovený geometrický plán podľa skutočného vedenia a uloženia stavby, z ktorého bude zrejmý rozsah vecného bremena a znalecký posudok,</w:t>
      </w:r>
    </w:p>
    <w:p w14:paraId="23C7F681">
      <w:pPr>
        <w:pStyle w:val="22"/>
        <w:numPr>
          <w:ilvl w:val="0"/>
          <w:numId w:val="1"/>
        </w:numPr>
        <w:shd w:val="clear" w:color="auto" w:fill="auto"/>
        <w:tabs>
          <w:tab w:val="left" w:pos="300"/>
        </w:tabs>
        <w:spacing w:before="0" w:after="0" w:line="202" w:lineRule="exact"/>
        <w:ind w:right="20"/>
        <w:jc w:val="both"/>
        <w:rPr>
          <w:rFonts w:ascii="Arial" w:hAnsi="Arial" w:cs="Arial"/>
          <w:sz w:val="20"/>
          <w:szCs w:val="20"/>
        </w:rPr>
      </w:pPr>
      <w:r>
        <w:rPr>
          <w:rFonts w:ascii="Arial" w:hAnsi="Arial" w:cs="Arial"/>
          <w:sz w:val="20"/>
          <w:szCs w:val="20"/>
        </w:rPr>
        <w:t>k realizácii stavby je potrebné stanovisko užívateľa pozemkov SR/NV – Roľnícke družstvo Látky,</w:t>
      </w:r>
    </w:p>
    <w:p w14:paraId="23AC58A0">
      <w:pPr>
        <w:pStyle w:val="22"/>
        <w:numPr>
          <w:ilvl w:val="0"/>
          <w:numId w:val="1"/>
        </w:numPr>
        <w:shd w:val="clear" w:color="auto" w:fill="auto"/>
        <w:tabs>
          <w:tab w:val="left" w:pos="300"/>
        </w:tabs>
        <w:spacing w:before="0" w:after="0" w:line="202" w:lineRule="exact"/>
        <w:ind w:right="20"/>
        <w:jc w:val="both"/>
        <w:rPr>
          <w:rFonts w:ascii="Arial" w:hAnsi="Arial" w:cs="Arial"/>
          <w:sz w:val="20"/>
          <w:szCs w:val="20"/>
        </w:rPr>
      </w:pPr>
      <w:r>
        <w:rPr>
          <w:rFonts w:ascii="Arial" w:hAnsi="Arial" w:cs="Arial"/>
          <w:sz w:val="20"/>
          <w:szCs w:val="20"/>
        </w:rPr>
        <w:t>po dokončení stavby budú pozemky SR/NV upravené do pôvodného stavu tak, aby mohli byť využívané na doterajší účel. V prípade spôsobenia škôd ich stavebník odstráni na svoje náklady.</w:t>
      </w:r>
    </w:p>
    <w:p w14:paraId="1786417A">
      <w:pPr>
        <w:pStyle w:val="22"/>
        <w:shd w:val="clear" w:color="auto" w:fill="auto"/>
        <w:tabs>
          <w:tab w:val="left" w:pos="300"/>
        </w:tabs>
        <w:spacing w:before="0" w:after="0" w:line="202" w:lineRule="exact"/>
        <w:ind w:right="20"/>
        <w:jc w:val="both"/>
        <w:rPr>
          <w:rFonts w:ascii="Arial" w:hAnsi="Arial" w:cs="Arial"/>
          <w:sz w:val="20"/>
          <w:szCs w:val="20"/>
        </w:rPr>
      </w:pPr>
      <w:r>
        <w:rPr>
          <w:rFonts w:ascii="Arial" w:hAnsi="Arial" w:cs="Arial"/>
          <w:sz w:val="20"/>
          <w:szCs w:val="20"/>
        </w:rPr>
        <w:t xml:space="preserve">       </w:t>
      </w:r>
    </w:p>
    <w:p w14:paraId="20D95C1E">
      <w:pPr>
        <w:pStyle w:val="22"/>
        <w:shd w:val="clear" w:color="auto" w:fill="auto"/>
        <w:tabs>
          <w:tab w:val="left" w:pos="300"/>
        </w:tabs>
        <w:spacing w:before="0" w:after="0" w:line="202" w:lineRule="exact"/>
        <w:ind w:left="426" w:right="20" w:hanging="426"/>
        <w:jc w:val="both"/>
        <w:rPr>
          <w:rFonts w:ascii="Arial" w:hAnsi="Arial" w:cs="Arial"/>
          <w:b/>
          <w:sz w:val="20"/>
          <w:szCs w:val="20"/>
        </w:rPr>
      </w:pPr>
      <w:r>
        <w:rPr>
          <w:rFonts w:ascii="Arial" w:hAnsi="Arial" w:cs="Arial"/>
          <w:b/>
          <w:sz w:val="20"/>
          <w:szCs w:val="20"/>
        </w:rPr>
        <w:t xml:space="preserve">       Okresný úrad Detva, OSŽP, úsek ŠSOPaK, č.OU-DT-OSZP-2025/000828-002 zo dňa 26.06.2025:</w:t>
      </w:r>
    </w:p>
    <w:p w14:paraId="69A99A64">
      <w:pPr>
        <w:pStyle w:val="22"/>
        <w:shd w:val="clear" w:color="auto" w:fill="auto"/>
        <w:tabs>
          <w:tab w:val="left" w:pos="300"/>
        </w:tabs>
        <w:spacing w:before="0" w:after="0" w:line="202" w:lineRule="exact"/>
        <w:ind w:left="426" w:right="20" w:hanging="426"/>
        <w:jc w:val="both"/>
        <w:rPr>
          <w:rFonts w:ascii="Arial" w:hAnsi="Arial" w:cs="Arial"/>
          <w:b/>
          <w:sz w:val="20"/>
          <w:szCs w:val="20"/>
        </w:rPr>
      </w:pPr>
    </w:p>
    <w:p w14:paraId="336C4ACC">
      <w:pPr>
        <w:pStyle w:val="22"/>
        <w:numPr>
          <w:ilvl w:val="0"/>
          <w:numId w:val="5"/>
        </w:numPr>
        <w:shd w:val="clear" w:color="auto" w:fill="auto"/>
        <w:tabs>
          <w:tab w:val="left" w:pos="300"/>
        </w:tabs>
        <w:spacing w:before="0" w:after="0" w:line="202" w:lineRule="exact"/>
        <w:ind w:right="20"/>
        <w:jc w:val="both"/>
        <w:rPr>
          <w:rFonts w:ascii="Arial" w:hAnsi="Arial" w:cs="Arial"/>
          <w:sz w:val="20"/>
          <w:szCs w:val="20"/>
        </w:rPr>
      </w:pPr>
      <w:r>
        <w:rPr>
          <w:rFonts w:ascii="Arial" w:hAnsi="Arial" w:cs="Arial"/>
          <w:sz w:val="20"/>
          <w:szCs w:val="20"/>
        </w:rPr>
        <w:t>v prípade stretu s drevinami v prvom stupni ochrany, postupovať v zmysle § 47 ods. 3 zákona o ochrane prírody a krajiny a požiadať príslušný orgán ochrany prírody a krajiny o vydanie súhlasu na ich výrub,</w:t>
      </w:r>
    </w:p>
    <w:p w14:paraId="22D6EBF8">
      <w:pPr>
        <w:pStyle w:val="22"/>
        <w:numPr>
          <w:ilvl w:val="0"/>
          <w:numId w:val="5"/>
        </w:numPr>
        <w:shd w:val="clear" w:color="auto" w:fill="auto"/>
        <w:tabs>
          <w:tab w:val="left" w:pos="300"/>
        </w:tabs>
        <w:spacing w:before="0" w:after="0" w:line="202" w:lineRule="exact"/>
        <w:ind w:right="20"/>
        <w:jc w:val="both"/>
        <w:rPr>
          <w:rFonts w:ascii="Arial" w:hAnsi="Arial" w:cs="Arial"/>
          <w:sz w:val="20"/>
          <w:szCs w:val="20"/>
        </w:rPr>
      </w:pPr>
      <w:r>
        <w:rPr>
          <w:rFonts w:ascii="Arial" w:hAnsi="Arial" w:cs="Arial"/>
          <w:sz w:val="20"/>
          <w:szCs w:val="20"/>
        </w:rPr>
        <w:t>po ukončení prác uviesť terén do pôvodného stavu (zarovnať terén, vyzbierať kamene),</w:t>
      </w:r>
    </w:p>
    <w:p w14:paraId="128316A5">
      <w:pPr>
        <w:pStyle w:val="22"/>
        <w:numPr>
          <w:ilvl w:val="0"/>
          <w:numId w:val="5"/>
        </w:numPr>
        <w:shd w:val="clear" w:color="auto" w:fill="auto"/>
        <w:tabs>
          <w:tab w:val="left" w:pos="300"/>
        </w:tabs>
        <w:spacing w:before="0" w:after="0" w:line="202" w:lineRule="exact"/>
        <w:ind w:right="20"/>
        <w:jc w:val="both"/>
        <w:rPr>
          <w:rFonts w:ascii="Arial" w:hAnsi="Arial" w:cs="Arial"/>
          <w:sz w:val="20"/>
          <w:szCs w:val="20"/>
        </w:rPr>
      </w:pPr>
      <w:r>
        <w:rPr>
          <w:rFonts w:ascii="Arial" w:hAnsi="Arial" w:cs="Arial"/>
          <w:sz w:val="20"/>
          <w:szCs w:val="20"/>
        </w:rPr>
        <w:t>z dôvodu rozrušenia pôdneho krytu pri výkopových prácach upozorňujeme na aktuálnu problematiku šírenia inváznych rastlín – zabezpečiť v zmysle § 7 ods. 1 zákona č, 543/2002 Z.z. o ochrane prírody a krajiny ochranu prirodzeného druhového zloženia,</w:t>
      </w:r>
    </w:p>
    <w:p w14:paraId="61207378">
      <w:pPr>
        <w:pStyle w:val="22"/>
        <w:shd w:val="clear" w:color="auto" w:fill="auto"/>
        <w:tabs>
          <w:tab w:val="left" w:pos="300"/>
        </w:tabs>
        <w:spacing w:before="0" w:after="0" w:line="202" w:lineRule="exact"/>
        <w:ind w:right="20"/>
        <w:jc w:val="both"/>
        <w:rPr>
          <w:rFonts w:ascii="Arial" w:hAnsi="Arial" w:cs="Arial"/>
          <w:sz w:val="20"/>
          <w:szCs w:val="20"/>
        </w:rPr>
      </w:pPr>
    </w:p>
    <w:p w14:paraId="73195424">
      <w:pPr>
        <w:pStyle w:val="22"/>
        <w:shd w:val="clear" w:color="auto" w:fill="auto"/>
        <w:tabs>
          <w:tab w:val="left" w:pos="300"/>
        </w:tabs>
        <w:spacing w:before="0" w:after="0" w:line="202" w:lineRule="exact"/>
        <w:ind w:right="20"/>
        <w:jc w:val="both"/>
        <w:rPr>
          <w:rFonts w:ascii="Arial" w:hAnsi="Arial" w:cs="Arial"/>
          <w:sz w:val="20"/>
          <w:szCs w:val="20"/>
        </w:rPr>
      </w:pPr>
    </w:p>
    <w:p w14:paraId="6AAB1551">
      <w:pPr>
        <w:pStyle w:val="22"/>
        <w:shd w:val="clear" w:color="auto" w:fill="auto"/>
        <w:tabs>
          <w:tab w:val="left" w:pos="300"/>
        </w:tabs>
        <w:spacing w:before="0" w:after="0" w:line="202" w:lineRule="exact"/>
        <w:ind w:right="20"/>
        <w:jc w:val="both"/>
        <w:rPr>
          <w:rFonts w:ascii="Arial" w:hAnsi="Arial" w:cs="Arial"/>
          <w:sz w:val="20"/>
          <w:szCs w:val="20"/>
        </w:rPr>
      </w:pPr>
    </w:p>
    <w:p w14:paraId="6502EC0D">
      <w:pPr>
        <w:pStyle w:val="22"/>
        <w:shd w:val="clear" w:color="auto" w:fill="auto"/>
        <w:tabs>
          <w:tab w:val="left" w:pos="300"/>
        </w:tabs>
        <w:spacing w:before="0" w:after="0" w:line="202" w:lineRule="exact"/>
        <w:ind w:right="20"/>
        <w:jc w:val="both"/>
        <w:rPr>
          <w:rFonts w:ascii="Arial" w:hAnsi="Arial" w:cs="Arial"/>
          <w:sz w:val="20"/>
          <w:szCs w:val="20"/>
        </w:rPr>
      </w:pPr>
    </w:p>
    <w:p w14:paraId="41DE1325">
      <w:pPr>
        <w:ind w:left="360" w:hanging="360"/>
        <w:jc w:val="both"/>
        <w:rPr>
          <w:rFonts w:ascii="Arial" w:hAnsi="Arial" w:cs="Arial"/>
          <w:sz w:val="18"/>
          <w:szCs w:val="18"/>
          <w:u w:val="single"/>
        </w:rPr>
      </w:pPr>
      <w:r>
        <w:rPr>
          <w:rFonts w:ascii="Arial" w:hAnsi="Arial" w:cs="Arial"/>
          <w:sz w:val="18"/>
          <w:szCs w:val="18"/>
          <w:u w:val="single"/>
        </w:rPr>
        <w:t>č.j.: 2025/230/MH/PK-SZ roz.                                                                                                                                   6/8</w:t>
      </w:r>
    </w:p>
    <w:p w14:paraId="79F4A677">
      <w:pPr>
        <w:pStyle w:val="22"/>
        <w:shd w:val="clear" w:color="auto" w:fill="auto"/>
        <w:tabs>
          <w:tab w:val="left" w:pos="300"/>
        </w:tabs>
        <w:spacing w:before="0" w:after="0" w:line="202" w:lineRule="exact"/>
        <w:ind w:left="426" w:right="20"/>
        <w:jc w:val="both"/>
        <w:rPr>
          <w:rFonts w:ascii="Arial" w:hAnsi="Arial" w:cs="Arial"/>
          <w:b/>
          <w:sz w:val="20"/>
          <w:szCs w:val="20"/>
        </w:rPr>
      </w:pPr>
    </w:p>
    <w:p w14:paraId="11E20B5D">
      <w:pPr>
        <w:pStyle w:val="22"/>
        <w:shd w:val="clear" w:color="auto" w:fill="auto"/>
        <w:tabs>
          <w:tab w:val="left" w:pos="300"/>
        </w:tabs>
        <w:spacing w:before="0" w:after="0" w:line="202" w:lineRule="exact"/>
        <w:ind w:left="426" w:right="20"/>
        <w:jc w:val="both"/>
        <w:rPr>
          <w:rFonts w:ascii="Arial" w:hAnsi="Arial" w:cs="Arial"/>
          <w:b/>
          <w:sz w:val="20"/>
          <w:szCs w:val="20"/>
        </w:rPr>
      </w:pPr>
      <w:r>
        <w:rPr>
          <w:rFonts w:ascii="Arial" w:hAnsi="Arial" w:cs="Arial"/>
          <w:b/>
          <w:sz w:val="20"/>
          <w:szCs w:val="20"/>
        </w:rPr>
        <w:t>Okresný úrad Detva, OSŽP, úsek  ŠSOH, č.OU-DT-OSZP-2025/000832-002 zo dňa 19.6.2025:</w:t>
      </w:r>
    </w:p>
    <w:p w14:paraId="6C6956C9">
      <w:pPr>
        <w:pStyle w:val="22"/>
        <w:shd w:val="clear" w:color="auto" w:fill="auto"/>
        <w:tabs>
          <w:tab w:val="left" w:pos="300"/>
        </w:tabs>
        <w:spacing w:before="0" w:after="0" w:line="202" w:lineRule="exact"/>
        <w:ind w:left="426" w:right="20"/>
        <w:jc w:val="both"/>
        <w:rPr>
          <w:rFonts w:ascii="Arial" w:hAnsi="Arial" w:cs="Arial"/>
          <w:b/>
          <w:sz w:val="20"/>
          <w:szCs w:val="20"/>
        </w:rPr>
      </w:pPr>
    </w:p>
    <w:p w14:paraId="4EAD6D28">
      <w:pPr>
        <w:pStyle w:val="22"/>
        <w:numPr>
          <w:ilvl w:val="0"/>
          <w:numId w:val="6"/>
        </w:numPr>
        <w:shd w:val="clear" w:color="auto" w:fill="auto"/>
        <w:tabs>
          <w:tab w:val="left" w:pos="156"/>
        </w:tabs>
        <w:spacing w:before="0" w:after="0" w:line="218" w:lineRule="exact"/>
        <w:ind w:left="993" w:right="20" w:hanging="284"/>
        <w:jc w:val="both"/>
        <w:rPr>
          <w:rFonts w:ascii="Arial" w:hAnsi="Arial" w:cs="Arial"/>
          <w:sz w:val="20"/>
          <w:szCs w:val="20"/>
        </w:rPr>
      </w:pPr>
      <w:r>
        <w:rPr>
          <w:rFonts w:ascii="Arial" w:hAnsi="Arial" w:cs="Arial"/>
          <w:sz w:val="20"/>
          <w:szCs w:val="20"/>
        </w:rPr>
        <w:t>v prípade vzniku odpadov počas rekonštrukcie, nakladať s nimi najmä v súlade s § 77 zákona o odpadoch ( č. 79/2015 Z. z.), s ustanovením vyhlášky MŽP SR č. 371/2015 Z. z., ktorou sa vykonávajú niektoré ustanovenia zákona o odpadoch, v znení neskorších predpisov a v súlade s vyhláškou č. 344/2022 Z. z. o stavebných odpadoch a odpadoch z demolácii;</w:t>
      </w:r>
    </w:p>
    <w:p w14:paraId="6E416AB3">
      <w:pPr>
        <w:pStyle w:val="22"/>
        <w:numPr>
          <w:ilvl w:val="0"/>
          <w:numId w:val="6"/>
        </w:numPr>
        <w:shd w:val="clear" w:color="auto" w:fill="auto"/>
        <w:tabs>
          <w:tab w:val="left" w:pos="156"/>
        </w:tabs>
        <w:spacing w:before="0" w:after="0" w:line="214" w:lineRule="exact"/>
        <w:ind w:left="993" w:right="20" w:hanging="284"/>
        <w:jc w:val="both"/>
        <w:rPr>
          <w:rFonts w:ascii="Arial" w:hAnsi="Arial" w:cs="Arial"/>
          <w:sz w:val="20"/>
          <w:szCs w:val="20"/>
        </w:rPr>
      </w:pPr>
      <w:r>
        <w:rPr>
          <w:rFonts w:ascii="Arial" w:hAnsi="Arial" w:cs="Arial"/>
          <w:sz w:val="20"/>
          <w:szCs w:val="20"/>
        </w:rPr>
        <w:t>nekontaminovaná zemina a iný prirodzene sa vyskytujúci materiál vykopaný počas stavebných prác, ktorý sa použije spätne pri výstavbe sa nešpecifikuje ako odpad,</w:t>
      </w:r>
    </w:p>
    <w:p w14:paraId="5EA746B1">
      <w:pPr>
        <w:pStyle w:val="22"/>
        <w:numPr>
          <w:ilvl w:val="0"/>
          <w:numId w:val="6"/>
        </w:numPr>
        <w:shd w:val="clear" w:color="auto" w:fill="auto"/>
        <w:tabs>
          <w:tab w:val="left" w:pos="131"/>
        </w:tabs>
        <w:spacing w:before="0" w:after="0" w:line="214" w:lineRule="exact"/>
        <w:ind w:left="993" w:right="20" w:hanging="284"/>
        <w:jc w:val="both"/>
        <w:rPr>
          <w:rFonts w:ascii="Arial" w:hAnsi="Arial" w:cs="Arial"/>
          <w:sz w:val="20"/>
          <w:szCs w:val="20"/>
        </w:rPr>
      </w:pPr>
      <w:r>
        <w:rPr>
          <w:rFonts w:ascii="Arial" w:hAnsi="Arial" w:cs="Arial"/>
          <w:sz w:val="20"/>
          <w:szCs w:val="20"/>
        </w:rPr>
        <w:t>v prípade vzniku odpadov počas výstavby, podľa zákona o odpadoch dodržať hierarchiu odpadového hospodárstva podľa § 6 zákona o odpadoch t.j. zabezpečiť ich a) predchádzaniu vzniku odpadu, b) prípravu na opätovné použitie, c) recykláciu, d) iné zhodnocovanie, napríklad energetické zhodnocovanie, e) zneškodňovanie;</w:t>
      </w:r>
    </w:p>
    <w:p w14:paraId="524FE345">
      <w:pPr>
        <w:pStyle w:val="22"/>
        <w:numPr>
          <w:ilvl w:val="0"/>
          <w:numId w:val="6"/>
        </w:numPr>
        <w:shd w:val="clear" w:color="auto" w:fill="auto"/>
        <w:tabs>
          <w:tab w:val="left" w:pos="119"/>
        </w:tabs>
        <w:spacing w:before="0" w:after="0" w:line="214" w:lineRule="exact"/>
        <w:ind w:left="993" w:right="20" w:hanging="284"/>
        <w:jc w:val="both"/>
        <w:rPr>
          <w:rFonts w:ascii="Arial" w:hAnsi="Arial" w:cs="Arial"/>
          <w:sz w:val="20"/>
          <w:szCs w:val="20"/>
        </w:rPr>
      </w:pPr>
      <w:r>
        <w:rPr>
          <w:rFonts w:ascii="Arial" w:hAnsi="Arial" w:cs="Arial"/>
          <w:sz w:val="20"/>
          <w:szCs w:val="20"/>
        </w:rPr>
        <w:t>podľa § 77 ods. 2 zákona o odpadoch pri vykonávaní stavebných prác pre právnické osoby je pôvodcom odpadu ten, na koho bolo vydané stavebné povolenie, pôvodca odpadu zodpovedá za nakladanie s odpadmi podľa tohto zákona;</w:t>
      </w:r>
    </w:p>
    <w:p w14:paraId="5DCEA847">
      <w:pPr>
        <w:pStyle w:val="22"/>
        <w:numPr>
          <w:ilvl w:val="0"/>
          <w:numId w:val="6"/>
        </w:numPr>
        <w:shd w:val="clear" w:color="auto" w:fill="auto"/>
        <w:tabs>
          <w:tab w:val="left" w:pos="143"/>
        </w:tabs>
        <w:spacing w:before="0" w:after="0" w:line="214" w:lineRule="exact"/>
        <w:ind w:left="993" w:right="20" w:hanging="284"/>
        <w:jc w:val="both"/>
        <w:rPr>
          <w:rFonts w:ascii="Arial" w:hAnsi="Arial" w:cs="Arial"/>
          <w:sz w:val="20"/>
          <w:szCs w:val="20"/>
        </w:rPr>
      </w:pPr>
      <w:r>
        <w:rPr>
          <w:rFonts w:ascii="Arial" w:hAnsi="Arial" w:cs="Arial"/>
          <w:sz w:val="20"/>
          <w:szCs w:val="20"/>
        </w:rPr>
        <w:t>prebytočnú zeminu využiť v zmysle § 97 ods. 1 písm. s) zákona o odpadoch, respektíve v zmysle vyhlášky č. 344/2022 Z.z. o stavebných odpadoch a odpadoch z demolácií;</w:t>
      </w:r>
    </w:p>
    <w:p w14:paraId="5C1AA04E">
      <w:pPr>
        <w:pStyle w:val="22"/>
        <w:numPr>
          <w:ilvl w:val="0"/>
          <w:numId w:val="6"/>
        </w:numPr>
        <w:shd w:val="clear" w:color="auto" w:fill="auto"/>
        <w:tabs>
          <w:tab w:val="left" w:pos="127"/>
        </w:tabs>
        <w:spacing w:before="0" w:after="177" w:line="214" w:lineRule="exact"/>
        <w:ind w:left="993" w:right="20" w:hanging="284"/>
        <w:jc w:val="both"/>
        <w:rPr>
          <w:rFonts w:ascii="Arial" w:hAnsi="Arial" w:cs="Arial"/>
          <w:sz w:val="20"/>
          <w:szCs w:val="20"/>
        </w:rPr>
      </w:pPr>
      <w:r>
        <w:rPr>
          <w:rFonts w:ascii="Arial" w:hAnsi="Arial" w:cs="Arial"/>
          <w:sz w:val="20"/>
          <w:szCs w:val="20"/>
        </w:rPr>
        <w:t>ku kolaudácii požiadať podľa § 99 ods. 1 písm. b) 5 zákona o odpadoch o vyjadrenie k dokumentácii v kolaudačnom konaní ( k žiadosti priložiť kópiu stavebného povolenia, doklad ako bolo naložené so vzniknutými odpadmi napr. faktúra, vážny lístok, ....,) spôsob naloženia so všetkými odpadmi vzniknutými počas výstavby v súlade s ustanoveniami zákona o odpadoch.</w:t>
      </w:r>
    </w:p>
    <w:p w14:paraId="15E88BD9">
      <w:pPr>
        <w:pStyle w:val="22"/>
        <w:shd w:val="clear" w:color="auto" w:fill="auto"/>
        <w:tabs>
          <w:tab w:val="left" w:pos="300"/>
        </w:tabs>
        <w:spacing w:before="0" w:after="0" w:line="202" w:lineRule="exact"/>
        <w:ind w:left="426" w:right="20"/>
        <w:jc w:val="both"/>
        <w:rPr>
          <w:rFonts w:ascii="Arial" w:hAnsi="Arial" w:cs="Arial"/>
          <w:sz w:val="20"/>
          <w:szCs w:val="20"/>
        </w:rPr>
      </w:pPr>
      <w:r>
        <w:rPr>
          <w:rFonts w:ascii="Arial" w:hAnsi="Arial" w:cs="Arial"/>
          <w:b/>
          <w:sz w:val="20"/>
          <w:szCs w:val="20"/>
        </w:rPr>
        <w:t>Okresný úrad Detva, OSŽP, úsek  ŠVS, č.OU-DT-OSZP-2025/000826-002 zo dňa 01.07.2025:</w:t>
      </w:r>
    </w:p>
    <w:p w14:paraId="6A27FED2">
      <w:pPr>
        <w:pStyle w:val="22"/>
        <w:shd w:val="clear" w:color="auto" w:fill="auto"/>
        <w:tabs>
          <w:tab w:val="left" w:pos="300"/>
        </w:tabs>
        <w:spacing w:before="0" w:after="0" w:line="202" w:lineRule="exact"/>
        <w:ind w:left="709" w:right="20"/>
        <w:jc w:val="both"/>
        <w:rPr>
          <w:rFonts w:ascii="Arial" w:hAnsi="Arial" w:cs="Arial"/>
          <w:b/>
          <w:sz w:val="20"/>
          <w:szCs w:val="20"/>
        </w:rPr>
      </w:pPr>
    </w:p>
    <w:p w14:paraId="1D663A72">
      <w:pPr>
        <w:pStyle w:val="22"/>
        <w:numPr>
          <w:ilvl w:val="0"/>
          <w:numId w:val="6"/>
        </w:numPr>
        <w:shd w:val="clear" w:color="auto" w:fill="auto"/>
        <w:tabs>
          <w:tab w:val="left" w:pos="156"/>
        </w:tabs>
        <w:spacing w:before="0" w:after="0" w:line="218" w:lineRule="exact"/>
        <w:ind w:left="993" w:right="20" w:hanging="284"/>
        <w:jc w:val="both"/>
        <w:rPr>
          <w:rFonts w:ascii="Arial" w:hAnsi="Arial" w:cs="Arial"/>
          <w:sz w:val="20"/>
          <w:szCs w:val="20"/>
        </w:rPr>
      </w:pPr>
      <w:r>
        <w:rPr>
          <w:rFonts w:ascii="Arial" w:hAnsi="Arial" w:cs="Arial"/>
          <w:sz w:val="20"/>
          <w:szCs w:val="20"/>
        </w:rPr>
        <w:t>Počas realizácie stavby a po celú dobu životnosti stavby zabezpečiť preventívne opatrenia tak, aby nedochádzalo ku znečisteniu povrchových a podzemných vôd pri manipulácii so znečisťujúcimi látkami definovanými podľa prílohy č. 1 k vodnému zákonu (ďalej len „znečisťujúcimi látkami"), resp. v zmysle platného vodného zákona. Zabezpečiť potrebné opatrenia na ochranu kvality povrchových a podzemných vôd.</w:t>
      </w:r>
    </w:p>
    <w:p w14:paraId="75DCED2B">
      <w:pPr>
        <w:pStyle w:val="22"/>
        <w:numPr>
          <w:ilvl w:val="0"/>
          <w:numId w:val="6"/>
        </w:numPr>
        <w:shd w:val="clear" w:color="auto" w:fill="auto"/>
        <w:tabs>
          <w:tab w:val="left" w:pos="156"/>
        </w:tabs>
        <w:spacing w:before="0" w:after="0" w:line="218" w:lineRule="exact"/>
        <w:ind w:left="993" w:right="20" w:hanging="284"/>
        <w:jc w:val="both"/>
        <w:rPr>
          <w:rFonts w:ascii="Arial" w:hAnsi="Arial" w:cs="Arial"/>
          <w:sz w:val="20"/>
          <w:szCs w:val="20"/>
        </w:rPr>
      </w:pPr>
      <w:r>
        <w:rPr>
          <w:rFonts w:ascii="Arial" w:hAnsi="Arial" w:cs="Arial"/>
          <w:sz w:val="20"/>
          <w:szCs w:val="20"/>
        </w:rPr>
        <w:t>Mechanizmy používané pri stavebných prácach je nutné udržiavať v takom technickom stave, aby nedošlo k ohrozeniu kvality povrchových a podzemných vôd. Je neprípustné zriaďovať na stavenisku sklad pohonných hmôt, olejov a iných nebezpečných látok, vykonávať opravy a údržbu strojov a motorových vozidiel.</w:t>
      </w:r>
    </w:p>
    <w:p w14:paraId="37838EF2">
      <w:pPr>
        <w:pStyle w:val="22"/>
        <w:numPr>
          <w:ilvl w:val="0"/>
          <w:numId w:val="6"/>
        </w:numPr>
        <w:shd w:val="clear" w:color="auto" w:fill="auto"/>
        <w:tabs>
          <w:tab w:val="left" w:pos="156"/>
        </w:tabs>
        <w:spacing w:before="0" w:after="0" w:line="218" w:lineRule="exact"/>
        <w:ind w:left="993" w:right="20" w:hanging="284"/>
        <w:jc w:val="both"/>
        <w:rPr>
          <w:rFonts w:ascii="Arial" w:hAnsi="Arial" w:cs="Arial"/>
          <w:sz w:val="20"/>
          <w:szCs w:val="20"/>
        </w:rPr>
      </w:pPr>
      <w:r>
        <w:rPr>
          <w:rFonts w:ascii="Arial" w:hAnsi="Arial" w:cs="Arial"/>
          <w:sz w:val="20"/>
          <w:szCs w:val="20"/>
        </w:rPr>
        <w:t>Pri realizácii predmetnej stavby na pozemkoch, ktoré sú súčasťou Chránenej vodohospodárskej oblasti Horné povodie Ipľa, Rimavice a Slatiny je nevyhnutné striktne dodržiavať ustanovenia § 4 zákona č. 305/2018 Z. z. o chránených oblastiach prirodzenej akumulácie vôd a o zmene a doplnení niektorých zákonov.</w:t>
      </w:r>
    </w:p>
    <w:p w14:paraId="4D0FAB5C">
      <w:pPr>
        <w:pStyle w:val="22"/>
        <w:numPr>
          <w:ilvl w:val="0"/>
          <w:numId w:val="6"/>
        </w:numPr>
        <w:shd w:val="clear" w:color="auto" w:fill="auto"/>
        <w:tabs>
          <w:tab w:val="left" w:pos="156"/>
        </w:tabs>
        <w:spacing w:before="0" w:after="0" w:line="218" w:lineRule="exact"/>
        <w:ind w:left="993" w:right="20" w:hanging="284"/>
        <w:jc w:val="both"/>
        <w:rPr>
          <w:rFonts w:ascii="Arial" w:hAnsi="Arial" w:cs="Arial"/>
          <w:sz w:val="20"/>
          <w:szCs w:val="20"/>
        </w:rPr>
      </w:pPr>
      <w:r>
        <w:rPr>
          <w:rFonts w:ascii="Arial" w:hAnsi="Arial" w:cs="Arial"/>
          <w:sz w:val="20"/>
          <w:szCs w:val="20"/>
        </w:rPr>
        <w:t>Ku kolaudácii stavby preukázať vodotesnosť základovej vane, ktorá je vyrobená ako záchytná vaňa oleja.</w:t>
      </w:r>
    </w:p>
    <w:p w14:paraId="6D2DD344">
      <w:pPr>
        <w:pStyle w:val="22"/>
        <w:numPr>
          <w:ilvl w:val="0"/>
          <w:numId w:val="6"/>
        </w:numPr>
        <w:shd w:val="clear" w:color="auto" w:fill="auto"/>
        <w:tabs>
          <w:tab w:val="left" w:pos="156"/>
        </w:tabs>
        <w:spacing w:before="0" w:after="0" w:line="218" w:lineRule="exact"/>
        <w:ind w:left="993" w:right="20" w:hanging="284"/>
        <w:jc w:val="both"/>
        <w:rPr>
          <w:rFonts w:ascii="Arial" w:hAnsi="Arial" w:cs="Arial"/>
          <w:sz w:val="20"/>
          <w:szCs w:val="20"/>
        </w:rPr>
      </w:pPr>
      <w:r>
        <w:rPr>
          <w:rFonts w:ascii="Arial" w:hAnsi="Arial" w:cs="Arial"/>
          <w:sz w:val="20"/>
          <w:szCs w:val="20"/>
        </w:rPr>
        <w:t>Počas užívania stavby zabezpečiť pravidelnú vizuálnu kontrolu trafostanice, zameranú na presakovanie oleja a jeho prípadné následné znečistenie okolitého prostredia a v prípade zistenia presakovania oleja, okamžite zabezpečiť ochranu okolitého prostredia v súlade so záujmami chránenými vodným zákonom.</w:t>
      </w:r>
    </w:p>
    <w:p w14:paraId="45774A00">
      <w:pPr>
        <w:pStyle w:val="22"/>
        <w:shd w:val="clear" w:color="auto" w:fill="auto"/>
        <w:tabs>
          <w:tab w:val="left" w:pos="156"/>
        </w:tabs>
        <w:spacing w:before="0" w:after="0" w:line="218" w:lineRule="exact"/>
        <w:ind w:right="20"/>
        <w:jc w:val="both"/>
        <w:rPr>
          <w:rFonts w:ascii="Arial" w:hAnsi="Arial" w:cs="Arial"/>
          <w:sz w:val="20"/>
          <w:szCs w:val="20"/>
        </w:rPr>
      </w:pPr>
    </w:p>
    <w:p w14:paraId="28EE9D90">
      <w:pPr>
        <w:pStyle w:val="22"/>
        <w:shd w:val="clear" w:color="auto" w:fill="auto"/>
        <w:tabs>
          <w:tab w:val="left" w:pos="156"/>
        </w:tabs>
        <w:spacing w:before="0" w:after="0" w:line="218" w:lineRule="exact"/>
        <w:ind w:left="426" w:right="20" w:hanging="426"/>
        <w:jc w:val="both"/>
        <w:rPr>
          <w:rFonts w:ascii="Arial" w:hAnsi="Arial" w:cs="Arial"/>
          <w:b/>
          <w:sz w:val="20"/>
          <w:szCs w:val="20"/>
        </w:rPr>
      </w:pPr>
      <w:r>
        <w:rPr>
          <w:rFonts w:ascii="Arial" w:hAnsi="Arial" w:cs="Arial"/>
          <w:b/>
          <w:sz w:val="20"/>
          <w:szCs w:val="20"/>
        </w:rPr>
        <w:t xml:space="preserve">        Krajský pamiatkový úrad Banská Bystrica, č. S-PUSR-010599/2025/BRE, MIŇ zo dňa 26.06.2025:</w:t>
      </w:r>
    </w:p>
    <w:p w14:paraId="4D04FD58">
      <w:pPr>
        <w:pStyle w:val="22"/>
        <w:shd w:val="clear" w:color="auto" w:fill="auto"/>
        <w:tabs>
          <w:tab w:val="left" w:pos="156"/>
        </w:tabs>
        <w:spacing w:before="0" w:after="0" w:line="218" w:lineRule="exact"/>
        <w:ind w:left="426" w:right="20" w:hanging="426"/>
        <w:jc w:val="both"/>
        <w:rPr>
          <w:rFonts w:ascii="Arial" w:hAnsi="Arial" w:cs="Arial"/>
          <w:b/>
          <w:sz w:val="20"/>
          <w:szCs w:val="20"/>
        </w:rPr>
      </w:pPr>
    </w:p>
    <w:p w14:paraId="3AEA2989">
      <w:pPr>
        <w:pStyle w:val="22"/>
        <w:numPr>
          <w:ilvl w:val="0"/>
          <w:numId w:val="7"/>
        </w:numPr>
        <w:shd w:val="clear" w:color="auto" w:fill="auto"/>
        <w:tabs>
          <w:tab w:val="left" w:pos="156"/>
          <w:tab w:val="left" w:pos="993"/>
        </w:tabs>
        <w:spacing w:before="0" w:after="0" w:line="218" w:lineRule="exact"/>
        <w:ind w:left="993" w:right="20" w:hanging="284"/>
        <w:jc w:val="both"/>
        <w:rPr>
          <w:rFonts w:ascii="Arial" w:hAnsi="Arial" w:cs="Arial"/>
          <w:sz w:val="20"/>
          <w:szCs w:val="20"/>
        </w:rPr>
      </w:pPr>
      <w:r>
        <w:rPr>
          <w:rFonts w:ascii="Arial" w:hAnsi="Arial" w:cs="Arial"/>
          <w:sz w:val="20"/>
          <w:szCs w:val="20"/>
        </w:rPr>
        <w:t>Každú zmenu zámeru, posudzovaného v tomto záväznom stanovisku, je vlastník povinný prerokovať s KPÚ Banská Bystrica.</w:t>
      </w:r>
    </w:p>
    <w:p w14:paraId="6280EDCB">
      <w:pPr>
        <w:pStyle w:val="22"/>
        <w:shd w:val="clear" w:color="auto" w:fill="auto"/>
        <w:tabs>
          <w:tab w:val="left" w:pos="300"/>
        </w:tabs>
        <w:spacing w:before="0" w:after="0" w:line="202" w:lineRule="exact"/>
        <w:ind w:right="20" w:firstLine="426"/>
        <w:jc w:val="both"/>
        <w:rPr>
          <w:rFonts w:ascii="Arial" w:hAnsi="Arial" w:cs="Arial"/>
          <w:sz w:val="20"/>
          <w:szCs w:val="20"/>
        </w:rPr>
      </w:pPr>
    </w:p>
    <w:p w14:paraId="1F9A90DA">
      <w:pPr>
        <w:pStyle w:val="22"/>
        <w:shd w:val="clear" w:color="auto" w:fill="auto"/>
        <w:spacing w:after="183"/>
        <w:ind w:left="993" w:right="20"/>
        <w:rPr>
          <w:rFonts w:ascii="Arial" w:hAnsi="Arial" w:cs="Arial"/>
          <w:sz w:val="20"/>
          <w:szCs w:val="20"/>
        </w:rPr>
      </w:pPr>
      <w:r>
        <w:rPr>
          <w:rFonts w:ascii="Arial" w:hAnsi="Arial" w:cs="Arial"/>
          <w:sz w:val="20"/>
          <w:szCs w:val="20"/>
        </w:rPr>
        <w:t>Vzhľadom na skutočnosť, že pri realizácii stavby nie je možné vylúčiť výskyt archeologických nálezov, KPÚ Banská Bystrica upozorňuje:</w:t>
      </w:r>
    </w:p>
    <w:p w14:paraId="6A11922A">
      <w:pPr>
        <w:pStyle w:val="22"/>
        <w:numPr>
          <w:ilvl w:val="0"/>
          <w:numId w:val="8"/>
        </w:numPr>
        <w:shd w:val="clear" w:color="auto" w:fill="auto"/>
        <w:tabs>
          <w:tab w:val="left" w:pos="372"/>
        </w:tabs>
        <w:spacing w:before="0" w:after="60" w:line="224" w:lineRule="exact"/>
        <w:ind w:left="993" w:right="20" w:hanging="284"/>
        <w:jc w:val="both"/>
        <w:rPr>
          <w:rFonts w:ascii="Arial" w:hAnsi="Arial" w:cs="Arial"/>
          <w:sz w:val="20"/>
          <w:szCs w:val="20"/>
        </w:rPr>
      </w:pPr>
      <w:r>
        <w:rPr>
          <w:rFonts w:ascii="Arial" w:hAnsi="Arial" w:cs="Arial"/>
          <w:sz w:val="20"/>
          <w:szCs w:val="20"/>
        </w:rPr>
        <w:t xml:space="preserve">podľa § 40 ods. 2 a 3 pamiatkového zákona a § 44 zákona č. 25/2025 Z. z. Stavebný zákon a o zmene a doplnení niektorých zákonov (ďalej aj „stavebný zákon") ak sa pri stavebných prácach nájde vec pamiatkovej hodnoty alebo archeologický nález stavbyvedúci, príp. stavebník je povinný bezodkladne zabezpečiť prerušenie stavebných prác, ktoré by mohli nález ohroziť a ohlásiť nález, najneskôr na druhý pracovný deň po jeho nájdení, KPÚ Banská </w:t>
      </w:r>
    </w:p>
    <w:p w14:paraId="79632E85">
      <w:pPr>
        <w:ind w:left="720" w:hanging="720"/>
        <w:jc w:val="both"/>
        <w:rPr>
          <w:rFonts w:ascii="Arial" w:hAnsi="Arial" w:cs="Arial"/>
          <w:sz w:val="18"/>
          <w:szCs w:val="18"/>
          <w:u w:val="single"/>
        </w:rPr>
      </w:pPr>
      <w:r>
        <w:rPr>
          <w:rFonts w:ascii="Arial" w:hAnsi="Arial" w:cs="Arial"/>
          <w:sz w:val="18"/>
          <w:szCs w:val="18"/>
          <w:u w:val="single"/>
        </w:rPr>
        <w:t>č.j.: 2025/230/MH/PK-SZ roz.                                                                                                                                   7/8</w:t>
      </w:r>
    </w:p>
    <w:p w14:paraId="07B3B0C6">
      <w:pPr>
        <w:pStyle w:val="22"/>
        <w:shd w:val="clear" w:color="auto" w:fill="auto"/>
        <w:tabs>
          <w:tab w:val="left" w:pos="372"/>
        </w:tabs>
        <w:spacing w:before="0" w:after="60" w:line="224" w:lineRule="exact"/>
        <w:ind w:left="993" w:right="20"/>
        <w:jc w:val="both"/>
        <w:rPr>
          <w:rFonts w:ascii="Arial" w:hAnsi="Arial" w:cs="Arial"/>
          <w:sz w:val="20"/>
          <w:szCs w:val="20"/>
        </w:rPr>
      </w:pPr>
      <w:r>
        <w:rPr>
          <w:rFonts w:ascii="Arial" w:hAnsi="Arial" w:cs="Arial"/>
          <w:sz w:val="20"/>
          <w:szCs w:val="20"/>
        </w:rPr>
        <w:t>Bystrica na tel. č. 048/2455824. Nález sa musí ponechať bezo zmeny až do obhliadky KPÚ Banská Bystrica alebo ním poverenou odborne spôsobilou osobou, najmenej však tri pracovné dni odo dňa ohlásenia. Do obhliadky je stavbyvedúci, príp. stavebník povinný vykonať všetky nevyhnutné opatrenia na záchranu nálezu, najmä zabezpečiť ho proti poškodeniu, znehodnoteniu, zničeniu a odcudzeniu. Zaznamenať do stavebného denníka čas a okolnosti nálezu, čas jeho ohlásenia a opis vykonaných opatrení a oznámiť nález a vykonané opatrenia orgánu štátneho stavebného dohľadu. Archeologický nález môže vyzdvihnúť a premiestniť z pôvodného miesta a z nálezových súvislostí iba oprávnená osoba metódami archeologického výskumu</w:t>
      </w:r>
    </w:p>
    <w:p w14:paraId="1391618B">
      <w:pPr>
        <w:pStyle w:val="22"/>
        <w:numPr>
          <w:ilvl w:val="0"/>
          <w:numId w:val="8"/>
        </w:numPr>
        <w:shd w:val="clear" w:color="auto" w:fill="auto"/>
        <w:tabs>
          <w:tab w:val="left" w:pos="416"/>
        </w:tabs>
        <w:spacing w:before="0" w:after="60" w:line="224" w:lineRule="exact"/>
        <w:ind w:left="993" w:right="20" w:hanging="284"/>
        <w:jc w:val="both"/>
        <w:rPr>
          <w:rFonts w:ascii="Arial" w:hAnsi="Arial" w:cs="Arial"/>
          <w:sz w:val="20"/>
          <w:szCs w:val="20"/>
        </w:rPr>
      </w:pPr>
      <w:r>
        <w:rPr>
          <w:rFonts w:ascii="Arial" w:hAnsi="Arial" w:cs="Arial"/>
          <w:sz w:val="20"/>
          <w:szCs w:val="20"/>
        </w:rPr>
        <w:t>podľa § 44 ods. 2 stavebného zákona ak je na ochranu, zabezpečenie alebo odvoz nálezu potrebné dočasne prerušiť alebo natrvalo zastaviť uskutočňovanie stavebných prác, stavebný inšpektorát rozhodne na základe stanoviska príslušného orgánu na ochranu pamiatkového fondu alebo Ministerstva životného prostredia Slovenskej republiky o prerušení stavebných prác na nevyhnutný čas alebo nariadi úplné zastavenie stavebných prác</w:t>
      </w:r>
    </w:p>
    <w:p w14:paraId="36DD8128">
      <w:pPr>
        <w:pStyle w:val="22"/>
        <w:shd w:val="clear" w:color="auto" w:fill="auto"/>
        <w:tabs>
          <w:tab w:val="left" w:pos="300"/>
        </w:tabs>
        <w:spacing w:before="0" w:after="0" w:line="202" w:lineRule="exact"/>
        <w:ind w:left="765" w:right="20"/>
        <w:jc w:val="both"/>
        <w:rPr>
          <w:rFonts w:ascii="Arial" w:hAnsi="Arial" w:cs="Arial"/>
          <w:sz w:val="20"/>
          <w:szCs w:val="20"/>
        </w:rPr>
      </w:pPr>
    </w:p>
    <w:p w14:paraId="03425D87">
      <w:pPr>
        <w:pStyle w:val="22"/>
        <w:shd w:val="clear" w:color="auto" w:fill="auto"/>
        <w:tabs>
          <w:tab w:val="left" w:pos="300"/>
        </w:tabs>
        <w:spacing w:before="0" w:after="0" w:line="202" w:lineRule="exact"/>
        <w:ind w:left="851" w:right="20" w:firstLine="142"/>
        <w:jc w:val="both"/>
        <w:rPr>
          <w:rFonts w:ascii="Arial" w:hAnsi="Arial" w:cs="Arial"/>
          <w:sz w:val="20"/>
          <w:szCs w:val="20"/>
        </w:rPr>
      </w:pPr>
    </w:p>
    <w:p w14:paraId="12D86F53">
      <w:pPr>
        <w:spacing w:after="0" w:line="276" w:lineRule="auto"/>
        <w:jc w:val="both"/>
        <w:rPr>
          <w:rFonts w:ascii="Arial" w:hAnsi="Arial" w:cs="Arial"/>
          <w:b/>
          <w:bCs/>
          <w:sz w:val="20"/>
          <w:szCs w:val="20"/>
        </w:rPr>
      </w:pPr>
      <w:r>
        <w:rPr>
          <w:rFonts w:ascii="Arial" w:hAnsi="Arial" w:cs="Arial"/>
          <w:b/>
          <w:bCs/>
          <w:sz w:val="20"/>
          <w:szCs w:val="20"/>
        </w:rPr>
        <w:t>Námietky účastníkov konania:</w:t>
      </w:r>
    </w:p>
    <w:p w14:paraId="1433817F">
      <w:pPr>
        <w:spacing w:after="0" w:line="276" w:lineRule="auto"/>
        <w:jc w:val="both"/>
        <w:rPr>
          <w:rFonts w:ascii="Arial" w:hAnsi="Arial" w:cs="Arial"/>
          <w:i/>
          <w:iCs/>
          <w:sz w:val="20"/>
          <w:szCs w:val="20"/>
        </w:rPr>
      </w:pPr>
      <w:r>
        <w:rPr>
          <w:rFonts w:ascii="Arial" w:hAnsi="Arial" w:cs="Arial"/>
          <w:sz w:val="20"/>
          <w:szCs w:val="20"/>
        </w:rPr>
        <w:t xml:space="preserve">V zákonom stanovenej lehote </w:t>
      </w:r>
      <w:r>
        <w:rPr>
          <w:rFonts w:ascii="Arial" w:hAnsi="Arial" w:cs="Arial"/>
          <w:iCs/>
          <w:sz w:val="20"/>
          <w:szCs w:val="20"/>
        </w:rPr>
        <w:t>neboli</w:t>
      </w:r>
      <w:r>
        <w:rPr>
          <w:rFonts w:ascii="Arial" w:hAnsi="Arial" w:cs="Arial"/>
          <w:sz w:val="20"/>
          <w:szCs w:val="20"/>
        </w:rPr>
        <w:t xml:space="preserve"> uplatnené námietky účastníkov konania. </w:t>
      </w:r>
    </w:p>
    <w:p w14:paraId="16FB9D69">
      <w:pPr>
        <w:spacing w:after="0" w:line="276" w:lineRule="auto"/>
        <w:jc w:val="both"/>
        <w:rPr>
          <w:rFonts w:cs="Calibri"/>
          <w:b/>
          <w:bCs/>
          <w:iCs/>
        </w:rPr>
      </w:pPr>
    </w:p>
    <w:p w14:paraId="4DD2886E">
      <w:pPr>
        <w:spacing w:after="0" w:line="276" w:lineRule="auto"/>
        <w:jc w:val="both"/>
        <w:rPr>
          <w:rFonts w:ascii="Arial" w:hAnsi="Arial" w:cs="Arial"/>
          <w:b/>
          <w:bCs/>
          <w:iCs/>
          <w:sz w:val="20"/>
          <w:szCs w:val="20"/>
        </w:rPr>
      </w:pPr>
      <w:r>
        <w:rPr>
          <w:rFonts w:ascii="Arial" w:hAnsi="Arial" w:cs="Arial"/>
          <w:b/>
          <w:bCs/>
          <w:iCs/>
          <w:sz w:val="20"/>
          <w:szCs w:val="20"/>
        </w:rPr>
        <w:t>Lehota platnosti rozhodnutia o stavebnom zámere:</w:t>
      </w:r>
    </w:p>
    <w:p w14:paraId="20C8C226">
      <w:pPr>
        <w:spacing w:after="0" w:line="276" w:lineRule="auto"/>
        <w:jc w:val="both"/>
        <w:rPr>
          <w:rFonts w:ascii="Arial" w:hAnsi="Arial" w:cs="Arial"/>
          <w:iCs/>
          <w:sz w:val="20"/>
          <w:szCs w:val="20"/>
        </w:rPr>
      </w:pPr>
      <w:r>
        <w:rPr>
          <w:rFonts w:ascii="Arial" w:hAnsi="Arial" w:cs="Arial"/>
          <w:iCs/>
          <w:sz w:val="20"/>
          <w:szCs w:val="20"/>
        </w:rPr>
        <w:t>Podľa § 61 ods. 1 Stavebného zákona rozhodnutie o stavebnom zámere platí</w:t>
      </w:r>
      <w:r>
        <w:rPr>
          <w:rFonts w:ascii="Arial" w:hAnsi="Arial" w:cs="Arial"/>
          <w:i/>
          <w:sz w:val="20"/>
          <w:szCs w:val="20"/>
        </w:rPr>
        <w:t xml:space="preserve"> </w:t>
      </w:r>
      <w:r>
        <w:rPr>
          <w:rFonts w:ascii="Arial" w:hAnsi="Arial" w:cs="Arial"/>
          <w:sz w:val="20"/>
          <w:szCs w:val="20"/>
        </w:rPr>
        <w:t>tri roky</w:t>
      </w:r>
      <w:r>
        <w:rPr>
          <w:rFonts w:ascii="Arial" w:hAnsi="Arial" w:cs="Arial"/>
          <w:iCs/>
          <w:sz w:val="20"/>
          <w:szCs w:val="20"/>
        </w:rPr>
        <w:t xml:space="preserve"> odo dňa, keď nadobudlo právoplatnosť, nestráca však platnosť, ak bola v týchto lehotách podaná žiadosť o overenie projektu stavby. Rozhodnutie o stavebnom zámere stráca platnosť dňom straty platnosti overovacej doložky. </w:t>
      </w:r>
      <w:r>
        <w:rPr>
          <w:rFonts w:ascii="Arial" w:hAnsi="Arial" w:cs="Arial"/>
          <w:sz w:val="20"/>
          <w:szCs w:val="20"/>
        </w:rPr>
        <w:t xml:space="preserve">Podľa § 61 ods. 4 stavebného zákona rozhodnutie o stavebnom zámere je záväzné aj pre právnych nástupcov účastníkov konania. Podľa § 62 ods. 3 stavebného zákona možno lehotu platnosti rozhodnutia o stavebnom zámere predĺžiť na žiadosť stavebníka podanú pred jej uplynutím najviac o dva roky. </w:t>
      </w:r>
    </w:p>
    <w:p w14:paraId="50CCEBA5">
      <w:pPr>
        <w:spacing w:after="0" w:line="276" w:lineRule="auto"/>
        <w:jc w:val="both"/>
        <w:rPr>
          <w:rFonts w:ascii="Arial" w:hAnsi="Arial" w:cs="Arial"/>
          <w:sz w:val="20"/>
          <w:szCs w:val="20"/>
        </w:rPr>
      </w:pPr>
    </w:p>
    <w:p w14:paraId="6078E97D">
      <w:pPr>
        <w:spacing w:after="0" w:line="276" w:lineRule="auto"/>
        <w:jc w:val="both"/>
        <w:rPr>
          <w:rFonts w:ascii="Arial" w:hAnsi="Arial" w:cs="Arial"/>
          <w:sz w:val="20"/>
          <w:szCs w:val="20"/>
        </w:rPr>
      </w:pPr>
      <w:r>
        <w:rPr>
          <w:rFonts w:ascii="Arial" w:hAnsi="Arial" w:cs="Arial"/>
          <w:b/>
          <w:bCs/>
          <w:sz w:val="20"/>
          <w:szCs w:val="20"/>
        </w:rPr>
        <w:t>Správny poplatok</w:t>
      </w:r>
      <w:r>
        <w:rPr>
          <w:rFonts w:ascii="Arial" w:hAnsi="Arial" w:cs="Arial"/>
          <w:sz w:val="20"/>
          <w:szCs w:val="20"/>
        </w:rPr>
        <w:t>:</w:t>
      </w:r>
    </w:p>
    <w:p w14:paraId="19A2445E">
      <w:pPr>
        <w:spacing w:after="0" w:line="276" w:lineRule="auto"/>
        <w:jc w:val="both"/>
        <w:rPr>
          <w:rFonts w:ascii="Arial" w:hAnsi="Arial" w:cs="Arial"/>
          <w:iCs/>
          <w:sz w:val="20"/>
          <w:szCs w:val="20"/>
        </w:rPr>
      </w:pPr>
      <w:r>
        <w:rPr>
          <w:rFonts w:ascii="Arial" w:hAnsi="Arial" w:cs="Arial"/>
          <w:sz w:val="20"/>
          <w:szCs w:val="20"/>
        </w:rPr>
        <w:t>Správny poplatok podľa zákona č. 145/1995 Z. z. o správnych poplatkoch v znení neskorších predpisov vo výške 800,- € bol zaplatený dňa 05.08.2025.</w:t>
      </w:r>
    </w:p>
    <w:p w14:paraId="2D052102">
      <w:pPr>
        <w:pStyle w:val="19"/>
        <w:ind w:left="2127" w:hanging="2127"/>
        <w:jc w:val="both"/>
      </w:pPr>
    </w:p>
    <w:p w14:paraId="491C9C05">
      <w:pPr>
        <w:spacing w:after="0" w:line="276" w:lineRule="auto"/>
        <w:jc w:val="center"/>
        <w:rPr>
          <w:rFonts w:ascii="Arial" w:hAnsi="Arial" w:cs="Arial"/>
          <w:b/>
          <w:bCs/>
          <w:iCs/>
          <w:sz w:val="20"/>
          <w:szCs w:val="20"/>
        </w:rPr>
      </w:pPr>
      <w:r>
        <w:rPr>
          <w:rFonts w:ascii="Arial" w:hAnsi="Arial" w:cs="Arial"/>
          <w:b/>
          <w:bCs/>
          <w:iCs/>
          <w:sz w:val="20"/>
          <w:szCs w:val="20"/>
        </w:rPr>
        <w:t>ODÔVODNENIE</w:t>
      </w:r>
    </w:p>
    <w:p w14:paraId="34845CFB">
      <w:pPr>
        <w:jc w:val="both"/>
        <w:rPr>
          <w:rFonts w:ascii="Arial" w:hAnsi="Arial" w:cs="Arial"/>
          <w:sz w:val="20"/>
          <w:szCs w:val="20"/>
        </w:rPr>
      </w:pPr>
      <w:r>
        <w:rPr>
          <w:rFonts w:ascii="Arial" w:hAnsi="Arial" w:cs="Arial"/>
          <w:sz w:val="20"/>
          <w:szCs w:val="20"/>
        </w:rPr>
        <w:t>Dňa 09. 06. 2025 podal stavebník žiadosť na Obec Podkriváň o vydanie rozhodnutia o stavebnom zámere na stavbu: 19022-Dobroč-Brestina-Zahustenie TS a rekonštrukcia NNS na pozemkoch mimo zastavaného územia obce Podkriváň, Dobroč a Detvianska Huta, v katastrálnom území obce Podkriváň, Dobroč a Detvianska Huta .</w:t>
      </w:r>
    </w:p>
    <w:p w14:paraId="33545F65">
      <w:pPr>
        <w:jc w:val="both"/>
        <w:rPr>
          <w:rFonts w:ascii="Arial" w:hAnsi="Arial" w:cs="Arial"/>
          <w:sz w:val="20"/>
          <w:szCs w:val="20"/>
        </w:rPr>
      </w:pPr>
      <w:r>
        <w:rPr>
          <w:rFonts w:ascii="Arial" w:hAnsi="Arial" w:cs="Arial"/>
          <w:sz w:val="20"/>
          <w:szCs w:val="20"/>
        </w:rPr>
        <w:t xml:space="preserve">Stavebný úrad po doručení žiadosti preveril formálno-právne náležitosti žiadosti a všetky predložené doklady. </w:t>
      </w:r>
    </w:p>
    <w:p w14:paraId="0A318571">
      <w:pPr>
        <w:jc w:val="both"/>
        <w:rPr>
          <w:rFonts w:ascii="Arial" w:hAnsi="Arial" w:cs="Arial"/>
          <w:bCs/>
          <w:sz w:val="20"/>
          <w:szCs w:val="20"/>
        </w:rPr>
      </w:pPr>
      <w:r>
        <w:rPr>
          <w:rFonts w:ascii="Arial" w:hAnsi="Arial" w:cs="Arial"/>
          <w:sz w:val="20"/>
          <w:szCs w:val="20"/>
        </w:rPr>
        <w:t>Stavebný úrad 03.09.2025 oznámil v zmysle § 51 ods. 3 verejnou vyhláškou začatie konania všetkým účastníkom konania</w:t>
      </w:r>
      <w:r>
        <w:rPr>
          <w:rFonts w:ascii="Arial" w:hAnsi="Arial" w:eastAsia="Times New Roman" w:cs="Arial"/>
          <w:sz w:val="20"/>
          <w:szCs w:val="20"/>
        </w:rPr>
        <w:t xml:space="preserve"> a bolo vyvesené dňa 04.09.2025 a zvesené dňa 19.09.2025 na úradnej tabuli Obce Podkriváň, Obce Dobroč a Obce Detvianska Huta</w:t>
      </w:r>
      <w:r>
        <w:rPr>
          <w:rFonts w:ascii="Arial" w:hAnsi="Arial" w:cs="Arial"/>
          <w:sz w:val="20"/>
          <w:szCs w:val="20"/>
        </w:rPr>
        <w:t>.</w:t>
      </w:r>
      <w:r>
        <w:rPr>
          <w:rFonts w:ascii="Arial" w:hAnsi="Arial" w:eastAsia="Times New Roman" w:cs="Arial"/>
          <w:sz w:val="20"/>
          <w:szCs w:val="20"/>
        </w:rPr>
        <w:t xml:space="preserve"> Dotknutým orgánom štátnej správy a známym účastníkom konania bolo oznámené samostatným oznámením zo dňa 03.09.2025.</w:t>
      </w:r>
      <w:r>
        <w:rPr>
          <w:rFonts w:ascii="Arial" w:hAnsi="Arial" w:cs="Arial"/>
          <w:sz w:val="20"/>
          <w:szCs w:val="20"/>
        </w:rPr>
        <w:t xml:space="preserve"> Stavebný úrad nariadil </w:t>
      </w:r>
      <w:r>
        <w:rPr>
          <w:rFonts w:ascii="Arial" w:hAnsi="Arial" w:cs="Arial"/>
          <w:bCs/>
          <w:sz w:val="20"/>
          <w:szCs w:val="20"/>
        </w:rPr>
        <w:t>na prerokovanie návrhu ústne pojednávanie spojené  s miestnym zisťovaním na deň 23.09.2025 (utorok) o 09.00 hod., so stretnutím na Obecnom úrade v Podkriváni.</w:t>
      </w:r>
    </w:p>
    <w:p w14:paraId="59E553D9">
      <w:pPr>
        <w:jc w:val="both"/>
        <w:rPr>
          <w:rFonts w:ascii="Arial" w:hAnsi="Arial" w:cs="Arial"/>
          <w:sz w:val="20"/>
          <w:szCs w:val="20"/>
        </w:rPr>
      </w:pPr>
      <w:r>
        <w:rPr>
          <w:rFonts w:ascii="Arial" w:hAnsi="Arial" w:cs="Arial"/>
          <w:sz w:val="20"/>
          <w:szCs w:val="20"/>
        </w:rPr>
        <w:t>Účastníci konania boli riadne stavebným úradom poučení, že na neskoršie podané námietky sa neprihliada. Taktiež boli účastníci konania poučení, že na námietky, ktoré v určenej lehote účastníci konania neuplatnia v prvostupňovom konaní sa neprihliadne ani v odvolacom konaní.</w:t>
      </w:r>
    </w:p>
    <w:p w14:paraId="4B0F71B0">
      <w:pPr>
        <w:jc w:val="both"/>
        <w:rPr>
          <w:rFonts w:ascii="Arial" w:hAnsi="Arial" w:cs="Arial"/>
          <w:sz w:val="20"/>
          <w:szCs w:val="20"/>
        </w:rPr>
      </w:pPr>
    </w:p>
    <w:p w14:paraId="56374409">
      <w:pPr>
        <w:ind w:left="720" w:hanging="720"/>
        <w:jc w:val="both"/>
        <w:rPr>
          <w:rFonts w:ascii="Arial" w:hAnsi="Arial" w:cs="Arial"/>
          <w:sz w:val="18"/>
          <w:szCs w:val="18"/>
          <w:u w:val="single"/>
        </w:rPr>
      </w:pPr>
    </w:p>
    <w:p w14:paraId="7440A8B3">
      <w:pPr>
        <w:ind w:left="720" w:hanging="720"/>
        <w:jc w:val="both"/>
        <w:rPr>
          <w:rFonts w:ascii="Arial" w:hAnsi="Arial" w:cs="Arial"/>
          <w:sz w:val="18"/>
          <w:szCs w:val="18"/>
          <w:u w:val="single"/>
        </w:rPr>
      </w:pPr>
      <w:r>
        <w:rPr>
          <w:rFonts w:ascii="Arial" w:hAnsi="Arial" w:cs="Arial"/>
          <w:sz w:val="18"/>
          <w:szCs w:val="18"/>
          <w:u w:val="single"/>
        </w:rPr>
        <w:t>č.j.: 2025/230/MH/PK-SZ roz.                                                                                                                                   8/8</w:t>
      </w:r>
    </w:p>
    <w:p w14:paraId="6F94D5E8">
      <w:pPr>
        <w:jc w:val="both"/>
        <w:rPr>
          <w:rFonts w:ascii="Arial" w:hAnsi="Arial" w:cs="Arial"/>
          <w:sz w:val="20"/>
          <w:szCs w:val="20"/>
        </w:rPr>
      </w:pPr>
      <w:r>
        <w:rPr>
          <w:rFonts w:ascii="Arial" w:hAnsi="Arial" w:cs="Arial"/>
          <w:sz w:val="20"/>
          <w:szCs w:val="20"/>
        </w:rPr>
        <w:t xml:space="preserve"> V rovnakej lehote mohli oznámiť svoje stanoviská aj dotknuté orgány, inak podľa § 51 ods. 1 stavebného zákona v znení neskorších predpisov sa má za to, že ich stanovisko je kladné.</w:t>
      </w:r>
    </w:p>
    <w:p w14:paraId="3BDF214A">
      <w:pPr>
        <w:pStyle w:val="22"/>
        <w:shd w:val="clear" w:color="auto" w:fill="auto"/>
        <w:spacing w:after="0" w:line="208" w:lineRule="exact"/>
        <w:ind w:left="20" w:right="20" w:hanging="20"/>
        <w:jc w:val="both"/>
        <w:rPr>
          <w:rFonts w:ascii="Arial" w:hAnsi="Arial" w:cs="Arial"/>
          <w:sz w:val="20"/>
          <w:szCs w:val="20"/>
        </w:rPr>
      </w:pPr>
      <w:r>
        <w:rPr>
          <w:rFonts w:ascii="Arial" w:hAnsi="Arial" w:cs="Arial"/>
          <w:sz w:val="20"/>
          <w:szCs w:val="20"/>
        </w:rPr>
        <w:t>Stavebný úrad v uskutočnenom správnom konaní preskúmal predloženú žiadosť z hľadísk uvedených v § 52 stavebného zákona, a zistil, že jej realizáciou alebo užívaním nie sú ohrozené záujmy chránené stavebným zákonom, predpismi vydanými na jeho uskutočnenie a osobitnými predpismi.</w:t>
      </w:r>
    </w:p>
    <w:p w14:paraId="7A0CDF08">
      <w:pPr>
        <w:spacing w:after="0" w:line="276" w:lineRule="auto"/>
        <w:jc w:val="both"/>
        <w:rPr>
          <w:rFonts w:ascii="Arial" w:hAnsi="Arial" w:cs="Arial"/>
          <w:sz w:val="20"/>
          <w:szCs w:val="20"/>
        </w:rPr>
      </w:pPr>
    </w:p>
    <w:p w14:paraId="5AD53D3A">
      <w:pPr>
        <w:spacing w:after="0" w:line="276" w:lineRule="auto"/>
        <w:jc w:val="both"/>
        <w:rPr>
          <w:rFonts w:ascii="Arial" w:hAnsi="Arial" w:cs="Arial"/>
          <w:sz w:val="20"/>
          <w:szCs w:val="20"/>
        </w:rPr>
      </w:pPr>
      <w:r>
        <w:rPr>
          <w:rFonts w:ascii="Arial" w:hAnsi="Arial" w:cs="Arial"/>
          <w:sz w:val="20"/>
          <w:szCs w:val="20"/>
        </w:rPr>
        <w:t>Stavebný úrad zaistil vzájomný súlad predložených stanovísk dotknutých orgánov a organizácií požadovaných osobitnými predpismi, zabezpečil plnenie požiadaviek vlastníkov a správcov sietí technického vybavenia a ich stanoviská a požiadavky zahrnul do podmienok tohto rozhodnutia.</w:t>
      </w:r>
    </w:p>
    <w:p w14:paraId="419AB5B5">
      <w:pPr>
        <w:spacing w:after="0" w:line="276" w:lineRule="auto"/>
        <w:jc w:val="both"/>
        <w:rPr>
          <w:rFonts w:ascii="Arial" w:hAnsi="Arial" w:cs="Arial"/>
          <w:b/>
          <w:bCs/>
          <w:iCs/>
          <w:sz w:val="20"/>
          <w:szCs w:val="20"/>
        </w:rPr>
      </w:pPr>
    </w:p>
    <w:p w14:paraId="6739C036">
      <w:pPr>
        <w:jc w:val="both"/>
        <w:rPr>
          <w:rFonts w:ascii="Arial" w:hAnsi="Arial" w:cs="Arial"/>
          <w:b/>
          <w:bCs/>
          <w:sz w:val="20"/>
          <w:szCs w:val="20"/>
        </w:rPr>
      </w:pPr>
      <w:r>
        <w:rPr>
          <w:rFonts w:ascii="Arial" w:hAnsi="Arial" w:cs="Arial"/>
          <w:b/>
          <w:bCs/>
          <w:sz w:val="20"/>
          <w:szCs w:val="20"/>
        </w:rPr>
        <w:t xml:space="preserve">Rozhodnutie o stavebnom zámere nie je dokladom na samotnú realizáciu stavby. Stavebník je povinný pre realizáciu stavby požiadať stavebný úrad o overenie projektu stavby podľa § 65 stavebného zákona. </w:t>
      </w:r>
    </w:p>
    <w:p w14:paraId="2D8FC131">
      <w:pPr>
        <w:jc w:val="both"/>
        <w:rPr>
          <w:rFonts w:ascii="Arial" w:hAnsi="Arial" w:cs="Arial"/>
          <w:sz w:val="20"/>
          <w:szCs w:val="20"/>
        </w:rPr>
      </w:pPr>
      <w:r>
        <w:rPr>
          <w:rFonts w:ascii="Arial" w:hAnsi="Arial" w:cs="Arial"/>
          <w:sz w:val="20"/>
          <w:szCs w:val="20"/>
        </w:rPr>
        <w:t>Na základe vyššie uvedeného stavebný úrad rozhodol tak, ako sa uvádza  vo výrokovej časti tohto rozhodnutia.</w:t>
      </w:r>
    </w:p>
    <w:p w14:paraId="7EF34C04">
      <w:pPr>
        <w:spacing w:after="0"/>
        <w:jc w:val="both"/>
        <w:rPr>
          <w:rFonts w:asciiTheme="minorHAnsi" w:hAnsiTheme="minorHAnsi" w:cstheme="minorHAnsi"/>
        </w:rPr>
      </w:pPr>
    </w:p>
    <w:p w14:paraId="56B81FC6">
      <w:pPr>
        <w:spacing w:after="0" w:line="276" w:lineRule="auto"/>
        <w:jc w:val="center"/>
        <w:rPr>
          <w:rFonts w:ascii="Arial" w:hAnsi="Arial" w:cs="Arial"/>
          <w:b/>
          <w:bCs/>
          <w:iCs/>
          <w:sz w:val="20"/>
          <w:szCs w:val="20"/>
        </w:rPr>
      </w:pPr>
      <w:r>
        <w:rPr>
          <w:rFonts w:ascii="Arial" w:hAnsi="Arial" w:cs="Arial"/>
          <w:b/>
          <w:bCs/>
          <w:iCs/>
          <w:sz w:val="20"/>
          <w:szCs w:val="20"/>
        </w:rPr>
        <w:t>POUČENIE</w:t>
      </w:r>
    </w:p>
    <w:p w14:paraId="70A7E58A">
      <w:pPr>
        <w:spacing w:after="0"/>
        <w:jc w:val="both"/>
        <w:rPr>
          <w:b/>
          <w:bCs/>
        </w:rPr>
      </w:pPr>
    </w:p>
    <w:p w14:paraId="741DCD93">
      <w:pPr>
        <w:jc w:val="both"/>
        <w:rPr>
          <w:rFonts w:ascii="Arial" w:hAnsi="Arial" w:eastAsia="Times New Roman" w:cs="Arial"/>
          <w:sz w:val="20"/>
          <w:szCs w:val="20"/>
        </w:rPr>
      </w:pPr>
      <w:r>
        <w:rPr>
          <w:rFonts w:ascii="Arial" w:hAnsi="Arial" w:eastAsia="Times New Roman" w:cs="Arial"/>
          <w:sz w:val="20"/>
          <w:szCs w:val="20"/>
        </w:rPr>
        <w:t>Podľa § 53 a nasl. Zákona č.71/1967 Zb. o správnom konaní proti tomuto rozhodnutiu v lehote 15 dní odo dňa oznámenia rozhodnutia môžu účastníci konania podať odvolanie na Obec Podkriváň, Podkriváň 87, 985 51 Podkriváň.</w:t>
      </w:r>
    </w:p>
    <w:p w14:paraId="366476B7">
      <w:pPr>
        <w:pStyle w:val="10"/>
        <w:spacing w:before="0" w:beforeAutospacing="0" w:after="0"/>
        <w:jc w:val="both"/>
        <w:rPr>
          <w:rFonts w:ascii="Arial" w:hAnsi="Arial" w:cs="Arial"/>
          <w:sz w:val="20"/>
          <w:szCs w:val="20"/>
        </w:rPr>
      </w:pPr>
      <w:r>
        <w:rPr>
          <w:rFonts w:asciiTheme="minorHAnsi" w:hAnsiTheme="minorHAnsi" w:cstheme="minorHAnsi"/>
        </w:rPr>
        <w:t xml:space="preserve"> </w:t>
      </w:r>
      <w:r>
        <w:rPr>
          <w:rFonts w:ascii="Arial" w:hAnsi="Arial" w:cs="Arial"/>
          <w:sz w:val="20"/>
          <w:szCs w:val="20"/>
        </w:rPr>
        <w:t>Po vyčerpaní riadnych opravných prostriedkov v správnom konaní je možné rozhodnutie preskúmať súdom podľa Správneho súdneho poriadku.</w:t>
      </w:r>
    </w:p>
    <w:p w14:paraId="472B1D20">
      <w:pPr>
        <w:jc w:val="both"/>
        <w:rPr>
          <w:rFonts w:cs="Calibri"/>
          <w:iCs/>
        </w:rPr>
      </w:pPr>
    </w:p>
    <w:p w14:paraId="5C093BE0">
      <w:pPr>
        <w:jc w:val="both"/>
        <w:rPr>
          <w:rFonts w:ascii="Arial" w:hAnsi="Arial" w:cs="Arial"/>
          <w:b/>
          <w:iCs/>
          <w:sz w:val="20"/>
          <w:szCs w:val="20"/>
        </w:rPr>
      </w:pPr>
      <w:r>
        <w:rPr>
          <w:rFonts w:ascii="Arial" w:hAnsi="Arial" w:cs="Arial"/>
          <w:b/>
          <w:iCs/>
          <w:sz w:val="20"/>
          <w:szCs w:val="20"/>
        </w:rPr>
        <w:t>Táto verejná vyhláška, ktorou sa oznamuje a doručuje rozhodnutie o stavebnom zámere účastníkom konania bude zverejnené v súlade s ustanovením §26 ods. 2 zákona č.71/1967 Zb. o správnom konaní vyvesením po dobu 15 dní na úradnej tabuli a webovom sídle obce Podkriváň, Dobroč a Detvianska Huta. Spolu so situačným výkresom. Za deň doručenia sa pokladá posledný deň vyvesenia rozhodnutia.</w:t>
      </w:r>
    </w:p>
    <w:p w14:paraId="694AE5C0">
      <w:pPr>
        <w:spacing w:after="0" w:line="240" w:lineRule="auto"/>
        <w:jc w:val="both"/>
        <w:rPr>
          <w:rFonts w:ascii="Arial" w:hAnsi="Arial" w:cs="Arial"/>
          <w:b/>
          <w:iCs/>
          <w:sz w:val="20"/>
          <w:szCs w:val="20"/>
        </w:rPr>
      </w:pPr>
    </w:p>
    <w:p w14:paraId="795CEDBC">
      <w:pPr>
        <w:spacing w:after="0" w:line="240" w:lineRule="auto"/>
        <w:jc w:val="both"/>
        <w:rPr>
          <w:rFonts w:cs="Calibri"/>
          <w:iCs/>
        </w:rPr>
      </w:pPr>
    </w:p>
    <w:p w14:paraId="7D193037">
      <w:pPr>
        <w:spacing w:after="0" w:line="240" w:lineRule="auto"/>
        <w:jc w:val="both"/>
        <w:rPr>
          <w:rFonts w:cs="Calibri"/>
          <w:iCs/>
        </w:rPr>
      </w:pPr>
    </w:p>
    <w:p w14:paraId="4A5BB5FA">
      <w:pPr>
        <w:spacing w:after="0" w:line="240" w:lineRule="auto"/>
        <w:jc w:val="both"/>
        <w:rPr>
          <w:rFonts w:cs="Calibri"/>
          <w:iCs/>
        </w:rPr>
      </w:pPr>
    </w:p>
    <w:p w14:paraId="3B61055F">
      <w:pPr>
        <w:spacing w:after="0" w:line="240" w:lineRule="auto"/>
        <w:ind w:left="5670"/>
        <w:jc w:val="center"/>
        <w:rPr>
          <w:rFonts w:ascii="Arial" w:hAnsi="Arial" w:cs="Arial"/>
          <w:iCs/>
          <w:sz w:val="20"/>
          <w:szCs w:val="20"/>
        </w:rPr>
      </w:pPr>
      <w:r>
        <w:rPr>
          <w:rFonts w:ascii="Arial" w:hAnsi="Arial" w:cs="Arial"/>
          <w:iCs/>
          <w:sz w:val="20"/>
          <w:szCs w:val="20"/>
        </w:rPr>
        <w:t>Jozef Malatinec</w:t>
      </w:r>
    </w:p>
    <w:p w14:paraId="1417E747">
      <w:pPr>
        <w:spacing w:after="0" w:line="240" w:lineRule="auto"/>
        <w:ind w:left="5670"/>
        <w:jc w:val="center"/>
        <w:rPr>
          <w:rFonts w:ascii="Arial" w:hAnsi="Arial" w:cs="Arial"/>
          <w:sz w:val="20"/>
          <w:szCs w:val="20"/>
        </w:rPr>
      </w:pPr>
      <w:r>
        <w:rPr>
          <w:rFonts w:ascii="Arial" w:hAnsi="Arial" w:cs="Arial"/>
          <w:sz w:val="20"/>
          <w:szCs w:val="20"/>
        </w:rPr>
        <w:t>Starosta obce</w:t>
      </w:r>
    </w:p>
    <w:p w14:paraId="7410597E">
      <w:pPr>
        <w:spacing w:after="0" w:line="276" w:lineRule="auto"/>
        <w:rPr>
          <w:rFonts w:cs="Calibri"/>
          <w:iCs/>
        </w:rPr>
      </w:pPr>
    </w:p>
    <w:p w14:paraId="278C8DCF">
      <w:pPr>
        <w:pStyle w:val="22"/>
        <w:shd w:val="clear" w:color="auto" w:fill="auto"/>
        <w:spacing w:before="0"/>
        <w:ind w:left="60"/>
        <w:rPr>
          <w:rFonts w:ascii="Arial" w:hAnsi="Arial" w:cs="Arial"/>
          <w:sz w:val="20"/>
          <w:szCs w:val="20"/>
        </w:rPr>
      </w:pPr>
      <w:r>
        <w:rPr>
          <w:rFonts w:ascii="Arial" w:hAnsi="Arial" w:cs="Arial"/>
          <w:sz w:val="20"/>
          <w:szCs w:val="20"/>
        </w:rPr>
        <w:t>Príloha: situácia osadenia</w:t>
      </w:r>
    </w:p>
    <w:p w14:paraId="5628F86B">
      <w:pPr>
        <w:pStyle w:val="22"/>
        <w:shd w:val="clear" w:color="auto" w:fill="auto"/>
        <w:spacing w:before="0"/>
        <w:ind w:left="60"/>
      </w:pPr>
    </w:p>
    <w:p w14:paraId="407662E5">
      <w:pPr>
        <w:pStyle w:val="22"/>
        <w:shd w:val="clear" w:color="auto" w:fill="auto"/>
        <w:spacing w:before="0"/>
        <w:ind w:left="60"/>
      </w:pPr>
    </w:p>
    <w:p w14:paraId="7CCEFFE0">
      <w:pPr>
        <w:pStyle w:val="22"/>
        <w:shd w:val="clear" w:color="auto" w:fill="auto"/>
        <w:spacing w:before="0"/>
        <w:ind w:left="60"/>
      </w:pPr>
    </w:p>
    <w:p w14:paraId="1E908164">
      <w:pPr>
        <w:pStyle w:val="22"/>
        <w:shd w:val="clear" w:color="auto" w:fill="auto"/>
        <w:spacing w:before="0"/>
        <w:ind w:left="60"/>
      </w:pPr>
    </w:p>
    <w:p w14:paraId="0286D73B">
      <w:pPr>
        <w:pStyle w:val="22"/>
        <w:shd w:val="clear" w:color="auto" w:fill="auto"/>
        <w:spacing w:before="0"/>
        <w:ind w:left="60"/>
        <w:rPr>
          <w:rFonts w:ascii="Arial" w:hAnsi="Arial" w:cs="Arial"/>
          <w:sz w:val="20"/>
          <w:szCs w:val="20"/>
        </w:rPr>
      </w:pPr>
      <w:r>
        <w:rPr>
          <w:rFonts w:ascii="Arial" w:hAnsi="Arial" w:cs="Arial"/>
          <w:sz w:val="20"/>
          <w:szCs w:val="20"/>
        </w:rPr>
        <w:t>Vyvesené dňa:     ...................................................      Zvesené dňa:........................................................</w:t>
      </w:r>
    </w:p>
    <w:p w14:paraId="1803A159">
      <w:pPr>
        <w:pStyle w:val="22"/>
        <w:shd w:val="clear" w:color="auto" w:fill="auto"/>
        <w:spacing w:before="0"/>
        <w:ind w:left="60"/>
        <w:rPr>
          <w:rFonts w:ascii="Arial" w:hAnsi="Arial" w:cs="Arial"/>
          <w:sz w:val="20"/>
          <w:szCs w:val="20"/>
        </w:rPr>
      </w:pPr>
    </w:p>
    <w:p w14:paraId="7BC1216F">
      <w:pPr>
        <w:pStyle w:val="22"/>
        <w:shd w:val="clear" w:color="auto" w:fill="auto"/>
        <w:spacing w:before="0"/>
        <w:ind w:left="60"/>
        <w:rPr>
          <w:rFonts w:ascii="Arial" w:hAnsi="Arial" w:cs="Arial"/>
          <w:sz w:val="20"/>
          <w:szCs w:val="20"/>
        </w:rPr>
      </w:pPr>
    </w:p>
    <w:p w14:paraId="37616D47">
      <w:pPr>
        <w:pStyle w:val="22"/>
        <w:shd w:val="clear" w:color="auto" w:fill="auto"/>
        <w:spacing w:before="0"/>
        <w:ind w:left="60"/>
        <w:rPr>
          <w:rFonts w:ascii="Arial" w:hAnsi="Arial" w:cs="Arial"/>
          <w:sz w:val="20"/>
          <w:szCs w:val="20"/>
        </w:rPr>
      </w:pPr>
      <w:r>
        <w:rPr>
          <w:rFonts w:ascii="Arial" w:hAnsi="Arial" w:cs="Arial"/>
          <w:sz w:val="20"/>
          <w:szCs w:val="20"/>
        </w:rPr>
        <w:t>Pečiatka a podpis:                                                        Pečiatka a podpis:</w:t>
      </w:r>
    </w:p>
    <w:sectPr>
      <w:headerReference r:id="rId6" w:type="first"/>
      <w:headerReference r:id="rId5" w:type="default"/>
      <w:pgSz w:w="11906" w:h="16838"/>
      <w:pgMar w:top="1560" w:right="991" w:bottom="1702" w:left="1701" w:header="851" w:footer="680" w:gutter="0"/>
      <w:pgNumType w:chapSep="enDash"/>
      <w:cols w:space="708"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EE"/>
    <w:family w:val="swiss"/>
    <w:pitch w:val="default"/>
    <w:sig w:usb0="E4002EFF" w:usb1="C200247B" w:usb2="00000009" w:usb3="00000000" w:csb0="200001FF" w:csb1="00000000"/>
  </w:font>
  <w:font w:name="Segoe UI">
    <w:panose1 w:val="020B0502040204020203"/>
    <w:charset w:val="EE"/>
    <w:family w:val="swiss"/>
    <w:pitch w:val="default"/>
    <w:sig w:usb0="E4002EFF" w:usb1="C000E47F" w:usb2="00000009" w:usb3="00000000" w:csb0="200001FF" w:csb1="00000000"/>
  </w:font>
  <w:font w:name="Arial">
    <w:panose1 w:val="020B0604020202020204"/>
    <w:charset w:val="EE"/>
    <w:family w:val="swiss"/>
    <w:pitch w:val="default"/>
    <w:sig w:usb0="E0002EFF" w:usb1="C000785B" w:usb2="00000009" w:usb3="00000000" w:csb0="400001FF" w:csb1="FFFF0000"/>
  </w:font>
  <w:font w:name="Courier New">
    <w:panose1 w:val="02070309020205020404"/>
    <w:charset w:val="EE"/>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3"/>
      <w:tblW w:w="0" w:type="auto"/>
      <w:tblInd w:w="0" w:type="dxa"/>
      <w:tblLayout w:type="fixed"/>
      <w:tblCellMar>
        <w:top w:w="0" w:type="dxa"/>
        <w:left w:w="108" w:type="dxa"/>
        <w:bottom w:w="0" w:type="dxa"/>
        <w:right w:w="108" w:type="dxa"/>
      </w:tblCellMar>
    </w:tblPr>
    <w:tblGrid>
      <w:gridCol w:w="3070"/>
      <w:gridCol w:w="3070"/>
      <w:gridCol w:w="3070"/>
    </w:tblGrid>
    <w:tr w14:paraId="24F859C3">
      <w:tblPrEx>
        <w:tblCellMar>
          <w:top w:w="0" w:type="dxa"/>
          <w:left w:w="108" w:type="dxa"/>
          <w:bottom w:w="0" w:type="dxa"/>
          <w:right w:w="108" w:type="dxa"/>
        </w:tblCellMar>
      </w:tblPrEx>
      <w:trPr>
        <w:trHeight w:val="300" w:hRule="atLeast"/>
      </w:trPr>
      <w:tc>
        <w:tcPr>
          <w:tcW w:w="3070" w:type="dxa"/>
        </w:tcPr>
        <w:p w14:paraId="2133C633">
          <w:pPr>
            <w:pStyle w:val="8"/>
            <w:ind w:left="-115"/>
          </w:pPr>
        </w:p>
      </w:tc>
      <w:tc>
        <w:tcPr>
          <w:tcW w:w="3070" w:type="dxa"/>
        </w:tcPr>
        <w:p w14:paraId="088849E7">
          <w:pPr>
            <w:pStyle w:val="8"/>
            <w:jc w:val="center"/>
          </w:pPr>
        </w:p>
      </w:tc>
      <w:tc>
        <w:tcPr>
          <w:tcW w:w="3070" w:type="dxa"/>
        </w:tcPr>
        <w:p w14:paraId="6CB6F3AD">
          <w:pPr>
            <w:pStyle w:val="8"/>
            <w:ind w:right="-115"/>
            <w:jc w:val="right"/>
          </w:pPr>
        </w:p>
      </w:tc>
    </w:tr>
  </w:tbl>
  <w:p w14:paraId="2083C138">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A40783">
    <w:pPr>
      <w:spacing w:after="0"/>
      <w:jc w:val="center"/>
      <w:rPr>
        <w:rFonts w:ascii="Arial" w:hAnsi="Arial" w:cs="Arial"/>
        <w:sz w:val="36"/>
        <w:szCs w:val="36"/>
      </w:rPr>
    </w:pPr>
    <w:r>
      <w:rPr>
        <w:rFonts w:ascii="Arial" w:hAnsi="Arial" w:cs="Arial"/>
        <w:b/>
        <w:bCs/>
        <w:sz w:val="36"/>
        <w:szCs w:val="36"/>
      </w:rPr>
      <w:t>O B E C  P O D K R I VÁ Ň</w:t>
    </w:r>
  </w:p>
  <w:p w14:paraId="06C116B1">
    <w:pPr>
      <w:spacing w:after="0"/>
      <w:jc w:val="center"/>
      <w:rPr>
        <w:rFonts w:ascii="Arial" w:hAnsi="Arial" w:cs="Arial"/>
        <w:sz w:val="24"/>
        <w:szCs w:val="24"/>
      </w:rPr>
    </w:pPr>
    <w:r>
      <w:rPr>
        <w:rFonts w:ascii="Arial" w:hAnsi="Arial" w:cs="Arial"/>
        <w:b/>
        <w:bCs/>
        <w:sz w:val="24"/>
        <w:szCs w:val="24"/>
      </w:rPr>
      <w:t>Podkriváň č. 87, 985 51 PODKRIVÁŇ</w:t>
    </w:r>
  </w:p>
  <w:p w14:paraId="38903F92">
    <w:pPr>
      <w:pBdr>
        <w:top w:val="single" w:color="000001" w:sz="8" w:space="1"/>
      </w:pBdr>
      <w:spacing w:after="0"/>
      <w:jc w:val="both"/>
      <w:rPr>
        <w:rFonts w:ascii="Arial" w:hAnsi="Arial" w:cs="Arial"/>
        <w:color w:val="FF0000"/>
        <w:sz w:val="18"/>
        <w:szCs w:val="18"/>
      </w:rPr>
    </w:pPr>
    <w:r>
      <w:rPr>
        <w:rFonts w:ascii="Arial" w:hAnsi="Arial" w:cs="Arial"/>
        <w:sz w:val="18"/>
        <w:szCs w:val="18"/>
      </w:rPr>
      <w:t xml:space="preserve">č.j.: 2025/230/MH/PK/SZ-roz.              Vybavuje: Hanes, č.t. 045/5469004                    Podkriváň, dňa: 25.09.2025 </w:t>
    </w:r>
  </w:p>
  <w:p w14:paraId="10E39185">
    <w:pPr>
      <w:pBdr>
        <w:top w:val="single" w:color="000001" w:sz="8" w:space="1"/>
      </w:pBdr>
      <w:spacing w:after="0"/>
      <w:jc w:val="center"/>
      <w:rPr>
        <w:rFonts w:ascii="Arial" w:hAnsi="Arial" w:cs="Arial"/>
        <w:sz w:val="18"/>
        <w:szCs w:val="18"/>
      </w:rPr>
    </w:pPr>
    <w:r>
      <w:fldChar w:fldCharType="begin"/>
    </w:r>
    <w:r>
      <w:instrText xml:space="preserve"> HYPERLINK "mailto:miroslav.hanes@obeckrivan.sk" </w:instrText>
    </w:r>
    <w:r>
      <w:fldChar w:fldCharType="separate"/>
    </w:r>
    <w:r>
      <w:rPr>
        <w:rStyle w:val="9"/>
        <w:rFonts w:ascii="Arial" w:hAnsi="Arial" w:cs="Arial"/>
        <w:sz w:val="18"/>
        <w:szCs w:val="18"/>
      </w:rPr>
      <w:t>miroslav.hanes@obeckrivan.sk</w:t>
    </w:r>
    <w:r>
      <w:rPr>
        <w:rStyle w:val="9"/>
        <w:rFonts w:ascii="Arial" w:hAnsi="Arial" w:cs="Arial"/>
        <w:sz w:val="18"/>
        <w:szCs w:val="18"/>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122B3F"/>
    <w:multiLevelType w:val="multilevel"/>
    <w:tmpl w:val="10122B3F"/>
    <w:lvl w:ilvl="0" w:tentative="0">
      <w:start w:val="0"/>
      <w:numFmt w:val="bullet"/>
      <w:lvlText w:val="-"/>
      <w:lvlJc w:val="left"/>
      <w:pPr>
        <w:ind w:left="1429" w:hanging="360"/>
      </w:pPr>
      <w:rPr>
        <w:rFonts w:hint="default" w:ascii="Calibri" w:hAnsi="Calibri" w:eastAsia="Calibri" w:cs="Calibri"/>
      </w:rPr>
    </w:lvl>
    <w:lvl w:ilvl="1" w:tentative="0">
      <w:start w:val="1"/>
      <w:numFmt w:val="bullet"/>
      <w:lvlText w:val="o"/>
      <w:lvlJc w:val="left"/>
      <w:pPr>
        <w:ind w:left="2149" w:hanging="360"/>
      </w:pPr>
      <w:rPr>
        <w:rFonts w:hint="default" w:ascii="Courier New" w:hAnsi="Courier New" w:cs="Courier New"/>
      </w:rPr>
    </w:lvl>
    <w:lvl w:ilvl="2" w:tentative="0">
      <w:start w:val="1"/>
      <w:numFmt w:val="bullet"/>
      <w:lvlText w:val=""/>
      <w:lvlJc w:val="left"/>
      <w:pPr>
        <w:ind w:left="2869" w:hanging="360"/>
      </w:pPr>
      <w:rPr>
        <w:rFonts w:hint="default" w:ascii="Wingdings" w:hAnsi="Wingdings"/>
      </w:rPr>
    </w:lvl>
    <w:lvl w:ilvl="3" w:tentative="0">
      <w:start w:val="1"/>
      <w:numFmt w:val="bullet"/>
      <w:lvlText w:val=""/>
      <w:lvlJc w:val="left"/>
      <w:pPr>
        <w:ind w:left="3589" w:hanging="360"/>
      </w:pPr>
      <w:rPr>
        <w:rFonts w:hint="default" w:ascii="Symbol" w:hAnsi="Symbol"/>
      </w:rPr>
    </w:lvl>
    <w:lvl w:ilvl="4" w:tentative="0">
      <w:start w:val="1"/>
      <w:numFmt w:val="bullet"/>
      <w:lvlText w:val="o"/>
      <w:lvlJc w:val="left"/>
      <w:pPr>
        <w:ind w:left="4309" w:hanging="360"/>
      </w:pPr>
      <w:rPr>
        <w:rFonts w:hint="default" w:ascii="Courier New" w:hAnsi="Courier New" w:cs="Courier New"/>
      </w:rPr>
    </w:lvl>
    <w:lvl w:ilvl="5" w:tentative="0">
      <w:start w:val="1"/>
      <w:numFmt w:val="bullet"/>
      <w:lvlText w:val=""/>
      <w:lvlJc w:val="left"/>
      <w:pPr>
        <w:ind w:left="5029" w:hanging="360"/>
      </w:pPr>
      <w:rPr>
        <w:rFonts w:hint="default" w:ascii="Wingdings" w:hAnsi="Wingdings"/>
      </w:rPr>
    </w:lvl>
    <w:lvl w:ilvl="6" w:tentative="0">
      <w:start w:val="1"/>
      <w:numFmt w:val="bullet"/>
      <w:lvlText w:val=""/>
      <w:lvlJc w:val="left"/>
      <w:pPr>
        <w:ind w:left="5749" w:hanging="360"/>
      </w:pPr>
      <w:rPr>
        <w:rFonts w:hint="default" w:ascii="Symbol" w:hAnsi="Symbol"/>
      </w:rPr>
    </w:lvl>
    <w:lvl w:ilvl="7" w:tentative="0">
      <w:start w:val="1"/>
      <w:numFmt w:val="bullet"/>
      <w:lvlText w:val="o"/>
      <w:lvlJc w:val="left"/>
      <w:pPr>
        <w:ind w:left="6469" w:hanging="360"/>
      </w:pPr>
      <w:rPr>
        <w:rFonts w:hint="default" w:ascii="Courier New" w:hAnsi="Courier New" w:cs="Courier New"/>
      </w:rPr>
    </w:lvl>
    <w:lvl w:ilvl="8" w:tentative="0">
      <w:start w:val="1"/>
      <w:numFmt w:val="bullet"/>
      <w:lvlText w:val=""/>
      <w:lvlJc w:val="left"/>
      <w:pPr>
        <w:ind w:left="7189" w:hanging="360"/>
      </w:pPr>
      <w:rPr>
        <w:rFonts w:hint="default" w:ascii="Wingdings" w:hAnsi="Wingdings"/>
      </w:rPr>
    </w:lvl>
  </w:abstractNum>
  <w:abstractNum w:abstractNumId="1">
    <w:nsid w:val="201D2A46"/>
    <w:multiLevelType w:val="multilevel"/>
    <w:tmpl w:val="201D2A46"/>
    <w:lvl w:ilvl="0" w:tentative="0">
      <w:start w:val="0"/>
      <w:numFmt w:val="bullet"/>
      <w:lvlText w:val="-"/>
      <w:lvlJc w:val="left"/>
      <w:pPr>
        <w:ind w:left="720" w:hanging="360"/>
      </w:pPr>
      <w:rPr>
        <w:rFonts w:hint="default" w:ascii="Calibri" w:hAnsi="Calibri" w:eastAsia="Calibri" w:cs="Calibri"/>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
    <w:nsid w:val="21B67F63"/>
    <w:multiLevelType w:val="multilevel"/>
    <w:tmpl w:val="21B67F63"/>
    <w:lvl w:ilvl="0" w:tentative="0">
      <w:start w:val="1"/>
      <w:numFmt w:val="bullet"/>
      <w:lvlText w:val="V"/>
      <w:lvlJc w:val="left"/>
      <w:rPr>
        <w:rFonts w:ascii="Times New Roman" w:hAnsi="Times New Roman" w:eastAsia="Times New Roman" w:cs="Times New Roman"/>
        <w:b w:val="0"/>
        <w:bCs w:val="0"/>
        <w:i w:val="0"/>
        <w:iCs w:val="0"/>
        <w:smallCaps w:val="0"/>
        <w:strike w:val="0"/>
        <w:color w:val="000000"/>
        <w:spacing w:val="0"/>
        <w:w w:val="100"/>
        <w:position w:val="0"/>
        <w:sz w:val="18"/>
        <w:szCs w:val="18"/>
        <w:u w:val="none"/>
        <w:lang w:val="sk"/>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
    <w:nsid w:val="2D781DB2"/>
    <w:multiLevelType w:val="multilevel"/>
    <w:tmpl w:val="2D781DB2"/>
    <w:lvl w:ilvl="0" w:tentative="0">
      <w:start w:val="1"/>
      <w:numFmt w:val="bullet"/>
      <w:lvlText w:val="-"/>
      <w:lvlJc w:val="left"/>
      <w:pPr>
        <w:ind w:left="1080" w:hanging="360"/>
      </w:pPr>
      <w:rPr>
        <w:rFonts w:hint="default" w:ascii="Calibri" w:hAnsi="Calibri" w:eastAsia="Calibri" w:cs="Calibri"/>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4">
    <w:nsid w:val="5C7D72A3"/>
    <w:multiLevelType w:val="multilevel"/>
    <w:tmpl w:val="5C7D72A3"/>
    <w:lvl w:ilvl="0" w:tentative="0">
      <w:start w:val="1"/>
      <w:numFmt w:val="bullet"/>
      <w:lvlText w:val="-"/>
      <w:lvlJc w:val="left"/>
      <w:pPr>
        <w:ind w:left="1080" w:hanging="360"/>
      </w:pPr>
      <w:rPr>
        <w:rFonts w:hint="default" w:ascii="Calibri" w:hAnsi="Calibri" w:eastAsia="Calibri" w:cs="Calibri"/>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
    <w:nsid w:val="623F4A83"/>
    <w:multiLevelType w:val="multilevel"/>
    <w:tmpl w:val="623F4A83"/>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
    <w:nsid w:val="745B20FF"/>
    <w:multiLevelType w:val="multilevel"/>
    <w:tmpl w:val="745B20FF"/>
    <w:lvl w:ilvl="0" w:tentative="0">
      <w:start w:val="1"/>
      <w:numFmt w:val="bullet"/>
      <w:lvlText w:val="-"/>
      <w:lvlJc w:val="left"/>
      <w:pPr>
        <w:ind w:left="1080" w:hanging="360"/>
      </w:pPr>
      <w:rPr>
        <w:rFonts w:hint="default" w:ascii="Calibri" w:hAnsi="Calibri" w:eastAsia="Calibri" w:cs="Calibri"/>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7">
    <w:nsid w:val="7E3F1010"/>
    <w:multiLevelType w:val="multilevel"/>
    <w:tmpl w:val="7E3F1010"/>
    <w:lvl w:ilvl="0" w:tentative="0">
      <w:start w:val="1"/>
      <w:numFmt w:val="bullet"/>
      <w:lvlText w:val="-"/>
      <w:lvlJc w:val="left"/>
      <w:rPr>
        <w:rFonts w:ascii="Calibri" w:hAnsi="Calibri" w:eastAsia="Calibri" w:cs="Calibri"/>
        <w:b w:val="0"/>
        <w:bCs w:val="0"/>
        <w:i w:val="0"/>
        <w:iCs w:val="0"/>
        <w:smallCaps w:val="0"/>
        <w:strike w:val="0"/>
        <w:color w:val="000000"/>
        <w:spacing w:val="0"/>
        <w:w w:val="100"/>
        <w:position w:val="0"/>
        <w:sz w:val="19"/>
        <w:szCs w:val="19"/>
        <w:u w:val="none"/>
        <w:lang w:val="sk"/>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num w:numId="1">
    <w:abstractNumId w:val="3"/>
  </w:num>
  <w:num w:numId="2">
    <w:abstractNumId w:val="2"/>
  </w:num>
  <w:num w:numId="3">
    <w:abstractNumId w:val="5"/>
  </w:num>
  <w:num w:numId="4">
    <w:abstractNumId w:val="6"/>
  </w:num>
  <w:num w:numId="5">
    <w:abstractNumId w:val="4"/>
  </w:num>
  <w:num w:numId="6">
    <w:abstractNumId w:val="0"/>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attachedTemplate r:id="rId1"/>
  <w:documentProtection w:enforcement="0"/>
  <w:defaultTabStop w:val="709"/>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16EF"/>
    <w:rsid w:val="0001243A"/>
    <w:rsid w:val="00022E5C"/>
    <w:rsid w:val="0003096B"/>
    <w:rsid w:val="0003700D"/>
    <w:rsid w:val="00042E5C"/>
    <w:rsid w:val="000441C3"/>
    <w:rsid w:val="00061E4A"/>
    <w:rsid w:val="00063757"/>
    <w:rsid w:val="00067908"/>
    <w:rsid w:val="000742A5"/>
    <w:rsid w:val="00075D27"/>
    <w:rsid w:val="000772C6"/>
    <w:rsid w:val="000A1CCC"/>
    <w:rsid w:val="000A4C97"/>
    <w:rsid w:val="000A7CF6"/>
    <w:rsid w:val="000B147D"/>
    <w:rsid w:val="000B53CD"/>
    <w:rsid w:val="000D4688"/>
    <w:rsid w:val="000E4280"/>
    <w:rsid w:val="000F1055"/>
    <w:rsid w:val="000F26BE"/>
    <w:rsid w:val="000F2DBC"/>
    <w:rsid w:val="000F3805"/>
    <w:rsid w:val="0010092D"/>
    <w:rsid w:val="0010226A"/>
    <w:rsid w:val="00104744"/>
    <w:rsid w:val="0010486E"/>
    <w:rsid w:val="00113D09"/>
    <w:rsid w:val="00115C41"/>
    <w:rsid w:val="0011600E"/>
    <w:rsid w:val="00122FFF"/>
    <w:rsid w:val="00124B34"/>
    <w:rsid w:val="00126326"/>
    <w:rsid w:val="00135B9D"/>
    <w:rsid w:val="00142A43"/>
    <w:rsid w:val="00143B45"/>
    <w:rsid w:val="001444AE"/>
    <w:rsid w:val="00144F57"/>
    <w:rsid w:val="001464D3"/>
    <w:rsid w:val="0014673F"/>
    <w:rsid w:val="0015166F"/>
    <w:rsid w:val="0015542C"/>
    <w:rsid w:val="00163639"/>
    <w:rsid w:val="00165553"/>
    <w:rsid w:val="001668AC"/>
    <w:rsid w:val="001761E5"/>
    <w:rsid w:val="00177587"/>
    <w:rsid w:val="001811FE"/>
    <w:rsid w:val="001861CD"/>
    <w:rsid w:val="0018726F"/>
    <w:rsid w:val="00192233"/>
    <w:rsid w:val="0019517A"/>
    <w:rsid w:val="001A129D"/>
    <w:rsid w:val="001A7813"/>
    <w:rsid w:val="001B7B33"/>
    <w:rsid w:val="001C1D37"/>
    <w:rsid w:val="001C325F"/>
    <w:rsid w:val="001C50AE"/>
    <w:rsid w:val="001D3083"/>
    <w:rsid w:val="001D577B"/>
    <w:rsid w:val="001D57B1"/>
    <w:rsid w:val="001E459B"/>
    <w:rsid w:val="001F4BD4"/>
    <w:rsid w:val="001F52D7"/>
    <w:rsid w:val="001F5C58"/>
    <w:rsid w:val="0020241B"/>
    <w:rsid w:val="0020379E"/>
    <w:rsid w:val="00206BB1"/>
    <w:rsid w:val="00221F4E"/>
    <w:rsid w:val="002224B5"/>
    <w:rsid w:val="00224123"/>
    <w:rsid w:val="00226715"/>
    <w:rsid w:val="002324AE"/>
    <w:rsid w:val="00235BDA"/>
    <w:rsid w:val="00255BD4"/>
    <w:rsid w:val="00260B0C"/>
    <w:rsid w:val="00265030"/>
    <w:rsid w:val="00265974"/>
    <w:rsid w:val="00271375"/>
    <w:rsid w:val="00271C9C"/>
    <w:rsid w:val="002760E7"/>
    <w:rsid w:val="002810D1"/>
    <w:rsid w:val="00285640"/>
    <w:rsid w:val="00286C26"/>
    <w:rsid w:val="002927D9"/>
    <w:rsid w:val="002A59BA"/>
    <w:rsid w:val="002A6AF1"/>
    <w:rsid w:val="002B35A0"/>
    <w:rsid w:val="002B4115"/>
    <w:rsid w:val="002B4E8E"/>
    <w:rsid w:val="002C1119"/>
    <w:rsid w:val="002D743C"/>
    <w:rsid w:val="002E2E0D"/>
    <w:rsid w:val="002F1108"/>
    <w:rsid w:val="002F6701"/>
    <w:rsid w:val="002F73EE"/>
    <w:rsid w:val="003053F6"/>
    <w:rsid w:val="003056DC"/>
    <w:rsid w:val="00306836"/>
    <w:rsid w:val="003073F3"/>
    <w:rsid w:val="003075FA"/>
    <w:rsid w:val="00310FBC"/>
    <w:rsid w:val="00310FE0"/>
    <w:rsid w:val="00313471"/>
    <w:rsid w:val="00316304"/>
    <w:rsid w:val="003174B0"/>
    <w:rsid w:val="00320DE4"/>
    <w:rsid w:val="003212CB"/>
    <w:rsid w:val="00322FCB"/>
    <w:rsid w:val="0032758F"/>
    <w:rsid w:val="00330467"/>
    <w:rsid w:val="00342538"/>
    <w:rsid w:val="0034412D"/>
    <w:rsid w:val="00344BDF"/>
    <w:rsid w:val="003477CC"/>
    <w:rsid w:val="00352131"/>
    <w:rsid w:val="00353F2F"/>
    <w:rsid w:val="0035582C"/>
    <w:rsid w:val="00361001"/>
    <w:rsid w:val="0036701C"/>
    <w:rsid w:val="0037333D"/>
    <w:rsid w:val="00377956"/>
    <w:rsid w:val="00381421"/>
    <w:rsid w:val="00385D4D"/>
    <w:rsid w:val="003B4543"/>
    <w:rsid w:val="003B5DD7"/>
    <w:rsid w:val="003C5BA8"/>
    <w:rsid w:val="003C5D2E"/>
    <w:rsid w:val="003C69A6"/>
    <w:rsid w:val="003D59E4"/>
    <w:rsid w:val="003D6C11"/>
    <w:rsid w:val="003E17BF"/>
    <w:rsid w:val="003E1F5B"/>
    <w:rsid w:val="003E6F84"/>
    <w:rsid w:val="003F057A"/>
    <w:rsid w:val="003F2368"/>
    <w:rsid w:val="003F571E"/>
    <w:rsid w:val="00405D33"/>
    <w:rsid w:val="00414FA1"/>
    <w:rsid w:val="0041654A"/>
    <w:rsid w:val="00417DD1"/>
    <w:rsid w:val="00432F52"/>
    <w:rsid w:val="0043438A"/>
    <w:rsid w:val="00436DCF"/>
    <w:rsid w:val="00446908"/>
    <w:rsid w:val="00447FC3"/>
    <w:rsid w:val="00452A41"/>
    <w:rsid w:val="00454F47"/>
    <w:rsid w:val="0045633A"/>
    <w:rsid w:val="00463C32"/>
    <w:rsid w:val="004654A0"/>
    <w:rsid w:val="0047000C"/>
    <w:rsid w:val="00470F45"/>
    <w:rsid w:val="00471655"/>
    <w:rsid w:val="004727A2"/>
    <w:rsid w:val="00475244"/>
    <w:rsid w:val="00475908"/>
    <w:rsid w:val="00480AC4"/>
    <w:rsid w:val="004835F4"/>
    <w:rsid w:val="00484DA0"/>
    <w:rsid w:val="00492DC9"/>
    <w:rsid w:val="004A40C4"/>
    <w:rsid w:val="004A4BB7"/>
    <w:rsid w:val="004B6471"/>
    <w:rsid w:val="004C772D"/>
    <w:rsid w:val="004E4D18"/>
    <w:rsid w:val="004E565B"/>
    <w:rsid w:val="004F1965"/>
    <w:rsid w:val="004F31FD"/>
    <w:rsid w:val="004F4A5A"/>
    <w:rsid w:val="004F4EFE"/>
    <w:rsid w:val="00500769"/>
    <w:rsid w:val="00500A61"/>
    <w:rsid w:val="00501E8C"/>
    <w:rsid w:val="0050600E"/>
    <w:rsid w:val="0051068F"/>
    <w:rsid w:val="005128E3"/>
    <w:rsid w:val="00516A0F"/>
    <w:rsid w:val="00516ABF"/>
    <w:rsid w:val="005211BD"/>
    <w:rsid w:val="005237EF"/>
    <w:rsid w:val="005316EF"/>
    <w:rsid w:val="0053702D"/>
    <w:rsid w:val="00551E93"/>
    <w:rsid w:val="005532B0"/>
    <w:rsid w:val="00565995"/>
    <w:rsid w:val="00566246"/>
    <w:rsid w:val="00571DD4"/>
    <w:rsid w:val="005872AA"/>
    <w:rsid w:val="00594EB2"/>
    <w:rsid w:val="005A3B29"/>
    <w:rsid w:val="005A595A"/>
    <w:rsid w:val="005A6B5F"/>
    <w:rsid w:val="005B46EB"/>
    <w:rsid w:val="005B6088"/>
    <w:rsid w:val="005B768B"/>
    <w:rsid w:val="005C3528"/>
    <w:rsid w:val="005C5390"/>
    <w:rsid w:val="005C7A41"/>
    <w:rsid w:val="005E17FA"/>
    <w:rsid w:val="0060032E"/>
    <w:rsid w:val="00600CCB"/>
    <w:rsid w:val="0060227A"/>
    <w:rsid w:val="00613FB3"/>
    <w:rsid w:val="0061577A"/>
    <w:rsid w:val="006168DB"/>
    <w:rsid w:val="006365DB"/>
    <w:rsid w:val="0064150C"/>
    <w:rsid w:val="006425C8"/>
    <w:rsid w:val="0064377D"/>
    <w:rsid w:val="00647B74"/>
    <w:rsid w:val="006566A7"/>
    <w:rsid w:val="00662241"/>
    <w:rsid w:val="006662CE"/>
    <w:rsid w:val="006759AF"/>
    <w:rsid w:val="0067762B"/>
    <w:rsid w:val="006853CE"/>
    <w:rsid w:val="00690D04"/>
    <w:rsid w:val="00692685"/>
    <w:rsid w:val="00693C9D"/>
    <w:rsid w:val="00695A70"/>
    <w:rsid w:val="0069795D"/>
    <w:rsid w:val="006A15A6"/>
    <w:rsid w:val="006A3427"/>
    <w:rsid w:val="006B6878"/>
    <w:rsid w:val="006B75C5"/>
    <w:rsid w:val="006C2A67"/>
    <w:rsid w:val="006C563B"/>
    <w:rsid w:val="006C79A6"/>
    <w:rsid w:val="006D7633"/>
    <w:rsid w:val="006E1780"/>
    <w:rsid w:val="006E1AC7"/>
    <w:rsid w:val="006E3C60"/>
    <w:rsid w:val="006E51D0"/>
    <w:rsid w:val="006E72BD"/>
    <w:rsid w:val="006E7C2A"/>
    <w:rsid w:val="006F7AF9"/>
    <w:rsid w:val="0070192B"/>
    <w:rsid w:val="00710779"/>
    <w:rsid w:val="007139B1"/>
    <w:rsid w:val="00714D37"/>
    <w:rsid w:val="007168AA"/>
    <w:rsid w:val="00717F8A"/>
    <w:rsid w:val="007334D3"/>
    <w:rsid w:val="00737DC2"/>
    <w:rsid w:val="00746EE8"/>
    <w:rsid w:val="007507DF"/>
    <w:rsid w:val="00750AE0"/>
    <w:rsid w:val="00751962"/>
    <w:rsid w:val="007527A8"/>
    <w:rsid w:val="00753085"/>
    <w:rsid w:val="00754945"/>
    <w:rsid w:val="0076487D"/>
    <w:rsid w:val="007746EC"/>
    <w:rsid w:val="007812A8"/>
    <w:rsid w:val="007834D2"/>
    <w:rsid w:val="00785403"/>
    <w:rsid w:val="00787A0F"/>
    <w:rsid w:val="00787EC0"/>
    <w:rsid w:val="00792C18"/>
    <w:rsid w:val="00794A44"/>
    <w:rsid w:val="007952D8"/>
    <w:rsid w:val="0079560A"/>
    <w:rsid w:val="00796ED5"/>
    <w:rsid w:val="007A640C"/>
    <w:rsid w:val="007A75BF"/>
    <w:rsid w:val="007B55A4"/>
    <w:rsid w:val="007D2E0C"/>
    <w:rsid w:val="007D6E84"/>
    <w:rsid w:val="007E0CB2"/>
    <w:rsid w:val="007E19CB"/>
    <w:rsid w:val="007E3AB2"/>
    <w:rsid w:val="007F2331"/>
    <w:rsid w:val="007F4278"/>
    <w:rsid w:val="0080727C"/>
    <w:rsid w:val="00815266"/>
    <w:rsid w:val="00825060"/>
    <w:rsid w:val="008326F8"/>
    <w:rsid w:val="0083441C"/>
    <w:rsid w:val="00836067"/>
    <w:rsid w:val="008407FF"/>
    <w:rsid w:val="00854CAB"/>
    <w:rsid w:val="00863A6F"/>
    <w:rsid w:val="00866BA9"/>
    <w:rsid w:val="00873161"/>
    <w:rsid w:val="00875F70"/>
    <w:rsid w:val="0088438B"/>
    <w:rsid w:val="00887193"/>
    <w:rsid w:val="00887E82"/>
    <w:rsid w:val="00893388"/>
    <w:rsid w:val="008940CE"/>
    <w:rsid w:val="008A4ABF"/>
    <w:rsid w:val="008A64B3"/>
    <w:rsid w:val="008B4B76"/>
    <w:rsid w:val="008B5339"/>
    <w:rsid w:val="008C6DD8"/>
    <w:rsid w:val="008C74C1"/>
    <w:rsid w:val="008D27B4"/>
    <w:rsid w:val="008E2C27"/>
    <w:rsid w:val="008F24B9"/>
    <w:rsid w:val="008F4448"/>
    <w:rsid w:val="0092258D"/>
    <w:rsid w:val="00933DD8"/>
    <w:rsid w:val="0093505A"/>
    <w:rsid w:val="00940882"/>
    <w:rsid w:val="00942649"/>
    <w:rsid w:val="009450AA"/>
    <w:rsid w:val="009536EF"/>
    <w:rsid w:val="009574FE"/>
    <w:rsid w:val="00964FCB"/>
    <w:rsid w:val="00972BB6"/>
    <w:rsid w:val="00973A7D"/>
    <w:rsid w:val="00973FC1"/>
    <w:rsid w:val="009755AA"/>
    <w:rsid w:val="00983421"/>
    <w:rsid w:val="00984F2F"/>
    <w:rsid w:val="00994D1A"/>
    <w:rsid w:val="009A31B3"/>
    <w:rsid w:val="009A36B6"/>
    <w:rsid w:val="009A5DA2"/>
    <w:rsid w:val="009C02C6"/>
    <w:rsid w:val="009C0BD0"/>
    <w:rsid w:val="009C574C"/>
    <w:rsid w:val="009C5DFA"/>
    <w:rsid w:val="009D387E"/>
    <w:rsid w:val="009D3B07"/>
    <w:rsid w:val="009E39F5"/>
    <w:rsid w:val="009F34F4"/>
    <w:rsid w:val="009F461D"/>
    <w:rsid w:val="009F4E78"/>
    <w:rsid w:val="009F64F7"/>
    <w:rsid w:val="009F67F0"/>
    <w:rsid w:val="009F7E4F"/>
    <w:rsid w:val="00A10015"/>
    <w:rsid w:val="00A10967"/>
    <w:rsid w:val="00A10B7A"/>
    <w:rsid w:val="00A13A16"/>
    <w:rsid w:val="00A13C74"/>
    <w:rsid w:val="00A24AF4"/>
    <w:rsid w:val="00A31223"/>
    <w:rsid w:val="00A31349"/>
    <w:rsid w:val="00A31B7A"/>
    <w:rsid w:val="00A359FF"/>
    <w:rsid w:val="00A426BB"/>
    <w:rsid w:val="00A46D99"/>
    <w:rsid w:val="00A6264F"/>
    <w:rsid w:val="00A65ACF"/>
    <w:rsid w:val="00A66A6D"/>
    <w:rsid w:val="00A763FE"/>
    <w:rsid w:val="00A766B9"/>
    <w:rsid w:val="00A77EE2"/>
    <w:rsid w:val="00A94032"/>
    <w:rsid w:val="00A960FD"/>
    <w:rsid w:val="00AA2995"/>
    <w:rsid w:val="00AA634C"/>
    <w:rsid w:val="00AA644F"/>
    <w:rsid w:val="00AB23BB"/>
    <w:rsid w:val="00AB4F66"/>
    <w:rsid w:val="00AC06AB"/>
    <w:rsid w:val="00AC0EFD"/>
    <w:rsid w:val="00AC45EE"/>
    <w:rsid w:val="00AC499A"/>
    <w:rsid w:val="00AE0C33"/>
    <w:rsid w:val="00AF7A5F"/>
    <w:rsid w:val="00B005C2"/>
    <w:rsid w:val="00B03406"/>
    <w:rsid w:val="00B040A7"/>
    <w:rsid w:val="00B23562"/>
    <w:rsid w:val="00B35E12"/>
    <w:rsid w:val="00B41023"/>
    <w:rsid w:val="00B41353"/>
    <w:rsid w:val="00B41C0A"/>
    <w:rsid w:val="00B46EA0"/>
    <w:rsid w:val="00B4740C"/>
    <w:rsid w:val="00B52420"/>
    <w:rsid w:val="00B62694"/>
    <w:rsid w:val="00B701EA"/>
    <w:rsid w:val="00B71509"/>
    <w:rsid w:val="00B73225"/>
    <w:rsid w:val="00B74AA9"/>
    <w:rsid w:val="00B8778F"/>
    <w:rsid w:val="00B90D61"/>
    <w:rsid w:val="00BA7134"/>
    <w:rsid w:val="00BA7E6E"/>
    <w:rsid w:val="00BB02F7"/>
    <w:rsid w:val="00BB5F83"/>
    <w:rsid w:val="00BB60BC"/>
    <w:rsid w:val="00BD09FB"/>
    <w:rsid w:val="00BD0FEF"/>
    <w:rsid w:val="00BD7533"/>
    <w:rsid w:val="00BE1153"/>
    <w:rsid w:val="00BE24C7"/>
    <w:rsid w:val="00BF5251"/>
    <w:rsid w:val="00BF6D21"/>
    <w:rsid w:val="00C016B3"/>
    <w:rsid w:val="00C10B37"/>
    <w:rsid w:val="00C235B6"/>
    <w:rsid w:val="00C342A1"/>
    <w:rsid w:val="00C35CE1"/>
    <w:rsid w:val="00C429CD"/>
    <w:rsid w:val="00C42EF8"/>
    <w:rsid w:val="00C5051F"/>
    <w:rsid w:val="00C60477"/>
    <w:rsid w:val="00C6563E"/>
    <w:rsid w:val="00C7126B"/>
    <w:rsid w:val="00C72A97"/>
    <w:rsid w:val="00C76053"/>
    <w:rsid w:val="00C90061"/>
    <w:rsid w:val="00C90ADC"/>
    <w:rsid w:val="00C94582"/>
    <w:rsid w:val="00C967CF"/>
    <w:rsid w:val="00C96D57"/>
    <w:rsid w:val="00CA02B5"/>
    <w:rsid w:val="00CA609D"/>
    <w:rsid w:val="00CA6269"/>
    <w:rsid w:val="00CA77C1"/>
    <w:rsid w:val="00CB2CCE"/>
    <w:rsid w:val="00CB6F61"/>
    <w:rsid w:val="00CB7DD0"/>
    <w:rsid w:val="00CC0E5D"/>
    <w:rsid w:val="00CC21E2"/>
    <w:rsid w:val="00CC6068"/>
    <w:rsid w:val="00CD3031"/>
    <w:rsid w:val="00CD4A2C"/>
    <w:rsid w:val="00CF459A"/>
    <w:rsid w:val="00CF635C"/>
    <w:rsid w:val="00CF6ED9"/>
    <w:rsid w:val="00CF76B7"/>
    <w:rsid w:val="00D0165B"/>
    <w:rsid w:val="00D210A4"/>
    <w:rsid w:val="00D2222A"/>
    <w:rsid w:val="00D2735A"/>
    <w:rsid w:val="00D33DEB"/>
    <w:rsid w:val="00D35379"/>
    <w:rsid w:val="00D36083"/>
    <w:rsid w:val="00D44439"/>
    <w:rsid w:val="00D46B5E"/>
    <w:rsid w:val="00D634CF"/>
    <w:rsid w:val="00D67D9E"/>
    <w:rsid w:val="00D73035"/>
    <w:rsid w:val="00D80F63"/>
    <w:rsid w:val="00D8134E"/>
    <w:rsid w:val="00D82B18"/>
    <w:rsid w:val="00D93862"/>
    <w:rsid w:val="00D94602"/>
    <w:rsid w:val="00DA1C5A"/>
    <w:rsid w:val="00DA31A4"/>
    <w:rsid w:val="00DA3D71"/>
    <w:rsid w:val="00DA569F"/>
    <w:rsid w:val="00DA740A"/>
    <w:rsid w:val="00DB0BD9"/>
    <w:rsid w:val="00DB4F13"/>
    <w:rsid w:val="00DB780C"/>
    <w:rsid w:val="00DC0DF3"/>
    <w:rsid w:val="00DC2493"/>
    <w:rsid w:val="00DC616D"/>
    <w:rsid w:val="00DD241F"/>
    <w:rsid w:val="00DD7B85"/>
    <w:rsid w:val="00DF14C2"/>
    <w:rsid w:val="00DF5C73"/>
    <w:rsid w:val="00DF69C6"/>
    <w:rsid w:val="00E02807"/>
    <w:rsid w:val="00E03A07"/>
    <w:rsid w:val="00E03DC3"/>
    <w:rsid w:val="00E06213"/>
    <w:rsid w:val="00E114A1"/>
    <w:rsid w:val="00E1657B"/>
    <w:rsid w:val="00E17A65"/>
    <w:rsid w:val="00E25B73"/>
    <w:rsid w:val="00E278F4"/>
    <w:rsid w:val="00E27EC3"/>
    <w:rsid w:val="00E32936"/>
    <w:rsid w:val="00E400C3"/>
    <w:rsid w:val="00E4033E"/>
    <w:rsid w:val="00E43DDF"/>
    <w:rsid w:val="00E524DB"/>
    <w:rsid w:val="00E5297E"/>
    <w:rsid w:val="00E5417B"/>
    <w:rsid w:val="00E54EE9"/>
    <w:rsid w:val="00E57957"/>
    <w:rsid w:val="00E6273C"/>
    <w:rsid w:val="00E65769"/>
    <w:rsid w:val="00E65A34"/>
    <w:rsid w:val="00E82C8B"/>
    <w:rsid w:val="00E83D19"/>
    <w:rsid w:val="00E84303"/>
    <w:rsid w:val="00E8549F"/>
    <w:rsid w:val="00E870B7"/>
    <w:rsid w:val="00E9132F"/>
    <w:rsid w:val="00E91F03"/>
    <w:rsid w:val="00E928D3"/>
    <w:rsid w:val="00E9591B"/>
    <w:rsid w:val="00EA3033"/>
    <w:rsid w:val="00EA4B17"/>
    <w:rsid w:val="00EB17D1"/>
    <w:rsid w:val="00EC2923"/>
    <w:rsid w:val="00ED23DD"/>
    <w:rsid w:val="00ED4AC0"/>
    <w:rsid w:val="00EE179E"/>
    <w:rsid w:val="00EE3571"/>
    <w:rsid w:val="00EE76C6"/>
    <w:rsid w:val="00EF4B40"/>
    <w:rsid w:val="00F01FB4"/>
    <w:rsid w:val="00F02BF7"/>
    <w:rsid w:val="00F11EB5"/>
    <w:rsid w:val="00F14B65"/>
    <w:rsid w:val="00F16B7C"/>
    <w:rsid w:val="00F20BF1"/>
    <w:rsid w:val="00F30609"/>
    <w:rsid w:val="00F3330C"/>
    <w:rsid w:val="00F353AE"/>
    <w:rsid w:val="00F41153"/>
    <w:rsid w:val="00F41423"/>
    <w:rsid w:val="00F4153E"/>
    <w:rsid w:val="00F41F6F"/>
    <w:rsid w:val="00F46629"/>
    <w:rsid w:val="00F51F2E"/>
    <w:rsid w:val="00F56C37"/>
    <w:rsid w:val="00F57823"/>
    <w:rsid w:val="00F643B4"/>
    <w:rsid w:val="00F70B6A"/>
    <w:rsid w:val="00F817B7"/>
    <w:rsid w:val="00F840AD"/>
    <w:rsid w:val="00F90751"/>
    <w:rsid w:val="00F9238D"/>
    <w:rsid w:val="00F96B2E"/>
    <w:rsid w:val="00FA157B"/>
    <w:rsid w:val="00FA1592"/>
    <w:rsid w:val="00FA1C8D"/>
    <w:rsid w:val="00FA2B52"/>
    <w:rsid w:val="00FB438B"/>
    <w:rsid w:val="00FB43C8"/>
    <w:rsid w:val="00FD2420"/>
    <w:rsid w:val="00FD72C5"/>
    <w:rsid w:val="00FD7A8D"/>
    <w:rsid w:val="00FE55CB"/>
    <w:rsid w:val="00FE5F09"/>
    <w:rsid w:val="00FE645C"/>
    <w:rsid w:val="00FF1163"/>
    <w:rsid w:val="00FF4EC6"/>
    <w:rsid w:val="00FF58E1"/>
    <w:rsid w:val="00FF6F8B"/>
    <w:rsid w:val="041FC40A"/>
    <w:rsid w:val="3F301A74"/>
    <w:rsid w:val="7EEB74CA"/>
  </w:rsids>
  <m:mathPr>
    <m:mathFont m:val="Cambria Math"/>
    <m:brkBin m:val="before"/>
    <m:brkBinSub m:val="--"/>
    <m:smallFrac m:val="0"/>
    <m:dispDef/>
    <m:lMargin m:val="0"/>
    <m:rMargin m:val="0"/>
    <m:defJc m:val="centerGroup"/>
    <m:wrapIndent m:val="1440"/>
    <m:intLim m:val="subSup"/>
    <m:naryLim m:val="undOvr"/>
  </m:mathPr>
  <w:themeFontLang w:val="sk-SK"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Calibri" w:hAnsi="Calibri" w:eastAsia="Calibri" w:cs="Times New Roman"/>
      <w:sz w:val="22"/>
      <w:szCs w:val="22"/>
      <w:lang w:val="sk-SK" w:eastAsia="sk-SK"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16"/>
    <w:semiHidden/>
    <w:unhideWhenUsed/>
    <w:qFormat/>
    <w:uiPriority w:val="99"/>
    <w:pPr>
      <w:spacing w:after="0" w:line="240" w:lineRule="auto"/>
    </w:pPr>
    <w:rPr>
      <w:rFonts w:ascii="Segoe UI" w:hAnsi="Segoe UI" w:cs="Segoe UI"/>
      <w:sz w:val="18"/>
      <w:szCs w:val="18"/>
    </w:rPr>
  </w:style>
  <w:style w:type="character" w:styleId="5">
    <w:name w:val="annotation reference"/>
    <w:semiHidden/>
    <w:unhideWhenUsed/>
    <w:qFormat/>
    <w:uiPriority w:val="99"/>
    <w:rPr>
      <w:sz w:val="16"/>
      <w:szCs w:val="16"/>
    </w:rPr>
  </w:style>
  <w:style w:type="paragraph" w:styleId="6">
    <w:name w:val="annotation text"/>
    <w:basedOn w:val="1"/>
    <w:link w:val="20"/>
    <w:unhideWhenUsed/>
    <w:qFormat/>
    <w:uiPriority w:val="99"/>
    <w:pPr>
      <w:suppressAutoHyphens/>
      <w:spacing w:after="0" w:line="240" w:lineRule="auto"/>
    </w:pPr>
    <w:rPr>
      <w:rFonts w:ascii="Times New Roman" w:hAnsi="Times New Roman" w:eastAsia="Times New Roman"/>
      <w:sz w:val="20"/>
      <w:szCs w:val="20"/>
      <w:lang w:eastAsia="en-US"/>
    </w:rPr>
  </w:style>
  <w:style w:type="paragraph" w:styleId="7">
    <w:name w:val="footer"/>
    <w:basedOn w:val="1"/>
    <w:link w:val="14"/>
    <w:unhideWhenUsed/>
    <w:uiPriority w:val="99"/>
    <w:pPr>
      <w:tabs>
        <w:tab w:val="center" w:pos="4536"/>
        <w:tab w:val="right" w:pos="9072"/>
      </w:tabs>
      <w:spacing w:after="0" w:line="240" w:lineRule="auto"/>
    </w:pPr>
  </w:style>
  <w:style w:type="paragraph" w:styleId="8">
    <w:name w:val="header"/>
    <w:basedOn w:val="1"/>
    <w:link w:val="13"/>
    <w:unhideWhenUsed/>
    <w:uiPriority w:val="99"/>
    <w:pPr>
      <w:tabs>
        <w:tab w:val="center" w:pos="4536"/>
        <w:tab w:val="right" w:pos="9072"/>
      </w:tabs>
      <w:spacing w:after="0" w:line="240" w:lineRule="auto"/>
    </w:pPr>
  </w:style>
  <w:style w:type="character" w:styleId="9">
    <w:name w:val="Hyperlink"/>
    <w:basedOn w:val="2"/>
    <w:unhideWhenUsed/>
    <w:qFormat/>
    <w:uiPriority w:val="99"/>
    <w:rPr>
      <w:color w:val="0563C1" w:themeColor="hyperlink"/>
      <w:u w:val="single"/>
      <w14:textFill>
        <w14:solidFill>
          <w14:schemeClr w14:val="hlink"/>
        </w14:solidFill>
      </w14:textFill>
    </w:rPr>
  </w:style>
  <w:style w:type="paragraph" w:styleId="10">
    <w:name w:val="Normal (Web)"/>
    <w:basedOn w:val="1"/>
    <w:qFormat/>
    <w:uiPriority w:val="0"/>
    <w:pPr>
      <w:spacing w:before="100" w:beforeAutospacing="1" w:after="119" w:line="240" w:lineRule="auto"/>
    </w:pPr>
    <w:rPr>
      <w:rFonts w:ascii="Times New Roman" w:hAnsi="Times New Roman" w:eastAsia="Times New Roman"/>
      <w:sz w:val="24"/>
      <w:szCs w:val="24"/>
    </w:rPr>
  </w:style>
  <w:style w:type="character" w:styleId="11">
    <w:name w:val="Strong"/>
    <w:basedOn w:val="2"/>
    <w:qFormat/>
    <w:uiPriority w:val="22"/>
    <w:rPr>
      <w:b/>
      <w:bCs/>
    </w:rPr>
  </w:style>
  <w:style w:type="table" w:styleId="12">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Hlavička Char"/>
    <w:basedOn w:val="2"/>
    <w:link w:val="8"/>
    <w:uiPriority w:val="99"/>
  </w:style>
  <w:style w:type="character" w:customStyle="1" w:styleId="14">
    <w:name w:val="Päta Char"/>
    <w:basedOn w:val="2"/>
    <w:link w:val="7"/>
    <w:qFormat/>
    <w:uiPriority w:val="99"/>
  </w:style>
  <w:style w:type="paragraph" w:styleId="15">
    <w:name w:val="List Paragraph"/>
    <w:basedOn w:val="1"/>
    <w:link w:val="21"/>
    <w:qFormat/>
    <w:uiPriority w:val="34"/>
    <w:pPr>
      <w:spacing w:after="0" w:line="240" w:lineRule="auto"/>
      <w:ind w:left="720"/>
      <w:contextualSpacing/>
    </w:pPr>
    <w:rPr>
      <w:lang w:eastAsia="en-US"/>
    </w:rPr>
  </w:style>
  <w:style w:type="character" w:customStyle="1" w:styleId="16">
    <w:name w:val="Text bubliny Char"/>
    <w:basedOn w:val="2"/>
    <w:link w:val="4"/>
    <w:semiHidden/>
    <w:qFormat/>
    <w:uiPriority w:val="99"/>
    <w:rPr>
      <w:rFonts w:ascii="Segoe UI" w:hAnsi="Segoe UI" w:cs="Segoe UI"/>
      <w:sz w:val="18"/>
      <w:szCs w:val="18"/>
    </w:rPr>
  </w:style>
  <w:style w:type="character" w:customStyle="1" w:styleId="17">
    <w:name w:val="Unresolved Mention"/>
    <w:basedOn w:val="2"/>
    <w:semiHidden/>
    <w:unhideWhenUsed/>
    <w:qFormat/>
    <w:uiPriority w:val="99"/>
    <w:rPr>
      <w:color w:val="605E5C"/>
      <w:shd w:val="clear" w:color="auto" w:fill="E1DFDD"/>
    </w:rPr>
  </w:style>
  <w:style w:type="paragraph" w:customStyle="1" w:styleId="18">
    <w:name w:val="Revision"/>
    <w:hidden/>
    <w:semiHidden/>
    <w:qFormat/>
    <w:uiPriority w:val="99"/>
    <w:rPr>
      <w:rFonts w:ascii="Calibri" w:hAnsi="Calibri" w:eastAsia="Calibri" w:cs="Times New Roman"/>
      <w:sz w:val="22"/>
      <w:szCs w:val="22"/>
      <w:lang w:val="sk-SK" w:eastAsia="sk-SK" w:bidi="ar-SA"/>
    </w:rPr>
  </w:style>
  <w:style w:type="paragraph" w:styleId="19">
    <w:name w:val="No Spacing"/>
    <w:qFormat/>
    <w:uiPriority w:val="1"/>
    <w:rPr>
      <w:rFonts w:ascii="Calibri" w:hAnsi="Calibri" w:eastAsia="Calibri" w:cs="Times New Roman"/>
      <w:sz w:val="22"/>
      <w:szCs w:val="22"/>
      <w:lang w:val="sk-SK" w:eastAsia="sk-SK" w:bidi="ar-SA"/>
    </w:rPr>
  </w:style>
  <w:style w:type="character" w:customStyle="1" w:styleId="20">
    <w:name w:val="Text komentára Char"/>
    <w:basedOn w:val="2"/>
    <w:link w:val="6"/>
    <w:uiPriority w:val="99"/>
    <w:rPr>
      <w:rFonts w:ascii="Times New Roman" w:hAnsi="Times New Roman" w:eastAsia="Times New Roman"/>
      <w:lang w:eastAsia="en-US"/>
    </w:rPr>
  </w:style>
  <w:style w:type="character" w:customStyle="1" w:styleId="21">
    <w:name w:val="Odsek zoznamu Char"/>
    <w:link w:val="15"/>
    <w:qFormat/>
    <w:uiPriority w:val="34"/>
    <w:rPr>
      <w:sz w:val="22"/>
      <w:szCs w:val="22"/>
      <w:lang w:eastAsia="en-US"/>
    </w:rPr>
  </w:style>
  <w:style w:type="paragraph" w:customStyle="1" w:styleId="22">
    <w:name w:val="Základný text1"/>
    <w:basedOn w:val="1"/>
    <w:link w:val="23"/>
    <w:qFormat/>
    <w:uiPriority w:val="0"/>
    <w:pPr>
      <w:shd w:val="clear" w:color="auto" w:fill="FFFFFF"/>
      <w:spacing w:before="120" w:after="120" w:line="232" w:lineRule="exact"/>
    </w:pPr>
    <w:rPr>
      <w:rFonts w:ascii="Times New Roman" w:hAnsi="Times New Roman" w:eastAsia="Times New Roman"/>
      <w:color w:val="000000"/>
      <w:sz w:val="18"/>
      <w:szCs w:val="18"/>
      <w:lang w:val="sk"/>
    </w:rPr>
  </w:style>
  <w:style w:type="character" w:customStyle="1" w:styleId="23">
    <w:name w:val="Body text_"/>
    <w:basedOn w:val="2"/>
    <w:link w:val="22"/>
    <w:qFormat/>
    <w:uiPriority w:val="0"/>
    <w:rPr>
      <w:rFonts w:ascii="Times New Roman" w:hAnsi="Times New Roman" w:eastAsia="Times New Roman"/>
      <w:color w:val="000000"/>
      <w:sz w:val="18"/>
      <w:szCs w:val="18"/>
      <w:shd w:val="clear" w:color="auto" w:fill="FFFFFF"/>
      <w:lang w:val="sk"/>
    </w:rPr>
  </w:style>
  <w:style w:type="character" w:customStyle="1" w:styleId="24">
    <w:name w:val="Body text + Spacing 1 pt"/>
    <w:basedOn w:val="23"/>
    <w:qFormat/>
    <w:uiPriority w:val="0"/>
    <w:rPr>
      <w:rFonts w:ascii="Times New Roman" w:hAnsi="Times New Roman" w:eastAsia="Times New Roman"/>
      <w:color w:val="000000"/>
      <w:spacing w:val="20"/>
      <w:sz w:val="18"/>
      <w:szCs w:val="18"/>
      <w:shd w:val="clear" w:color="auto" w:fill="FFFFFF"/>
      <w:lang w:val="sk"/>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4.xml"/><Relationship Id="rId11" Type="http://schemas.openxmlformats.org/officeDocument/2006/relationships/customXml" Target="../customXml/item3.xml"/><Relationship Id="rId10" Type="http://schemas.openxmlformats.org/officeDocument/2006/relationships/customXml" Target="../customXml/item2.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moravcikova\AppData\Local\Microsoft\Windows\INetCache\Content.Outlook\0GXWH6TT\UUPV_karticky.dot" TargetMode="Externa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8fe7fc4-d367-48bf-9400-9d6c33ef7c9d" xsi:nil="true"/>
    <lcf76f155ced4ddcb4097134ff3c332f xmlns="a3dbe902-1830-4b09-99a2-11e34016a5bd">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2AC1FCDB68342A44861F6A379E5104EF" ma:contentTypeVersion="15" ma:contentTypeDescription="Create a new document." ma:contentTypeScope="" ma:versionID="57880b52e63f8b76df222a9775acff4e">
  <xsd:schema xmlns:xsd="http://www.w3.org/2001/XMLSchema" xmlns:xs="http://www.w3.org/2001/XMLSchema" xmlns:p="http://schemas.microsoft.com/office/2006/metadata/properties" xmlns:ns2="a3dbe902-1830-4b09-99a2-11e34016a5bd" xmlns:ns3="68fe7fc4-d367-48bf-9400-9d6c33ef7c9d" targetNamespace="http://schemas.microsoft.com/office/2006/metadata/properties" ma:root="true" ma:fieldsID="78d63fdac7a09d31dc93dcc78164c0de" ns2:_="" ns3:_="">
    <xsd:import namespace="a3dbe902-1830-4b09-99a2-11e34016a5bd"/>
    <xsd:import namespace="68fe7fc4-d367-48bf-9400-9d6c33ef7c9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dbe902-1830-4b09-99a2-11e34016a5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c2571c0-8e58-4833-bba3-1b2dad5cc6cd"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8fe7fc4-d367-48bf-9400-9d6c33ef7c9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3db5ba77-e906-4935-bf93-5f5d75b6d349}" ma:internalName="TaxCatchAll" ma:showField="CatchAllData" ma:web="68fe7fc4-d367-48bf-9400-9d6c33ef7c9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46C7D73-E239-4E98-A9D5-3053EE1AB959}">
  <ds:schemaRefs/>
</ds:datastoreItem>
</file>

<file path=customXml/itemProps2.xml><?xml version="1.0" encoding="utf-8"?>
<ds:datastoreItem xmlns:ds="http://schemas.openxmlformats.org/officeDocument/2006/customXml" ds:itemID="{F4F91F62-EA11-4F5C-BD53-2CD028A3E3D6}">
  <ds:schemaRefs/>
</ds:datastoreItem>
</file>

<file path=customXml/itemProps3.xml><?xml version="1.0" encoding="utf-8"?>
<ds:datastoreItem xmlns:ds="http://schemas.openxmlformats.org/officeDocument/2006/customXml" ds:itemID="{852CC1A6-17BA-4E04-988A-43C7C743283E}">
  <ds:schemaRefs/>
</ds:datastoreItem>
</file>

<file path=customXml/itemProps4.xml><?xml version="1.0" encoding="utf-8"?>
<ds:datastoreItem xmlns:ds="http://schemas.openxmlformats.org/officeDocument/2006/customXml" ds:itemID="{8EBA2183-0EEE-4EFB-AF19-3D5FDBFE1FCB}">
  <ds:schemaRefs/>
</ds:datastoreItem>
</file>

<file path=docProps/app.xml><?xml version="1.0" encoding="utf-8"?>
<Properties xmlns="http://schemas.openxmlformats.org/officeDocument/2006/extended-properties" xmlns:vt="http://schemas.openxmlformats.org/officeDocument/2006/docPropsVTypes">
  <Template>UUPV_karticky</Template>
  <Pages>9</Pages>
  <Words>4038</Words>
  <Characters>23021</Characters>
  <Lines>191</Lines>
  <Paragraphs>54</Paragraphs>
  <TotalTime>365</TotalTime>
  <ScaleCrop>false</ScaleCrop>
  <LinksUpToDate>false</LinksUpToDate>
  <CharactersWithSpaces>27005</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2025-05-29T14:11:00Z</dcterms:created>
  <dc:creator>UUPV</dc:creator>
  <cp:lastModifiedBy>aku74508</cp:lastModifiedBy>
  <cp:lastPrinted>2025-09-26T11:25:00Z</cp:lastPrinted>
  <dcterms:modified xsi:type="dcterms:W3CDTF">2025-09-30T07:29:38Z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0x0101002AC1FCDB68342A44861F6A379E5104EF</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y fmtid="{D5CDD505-2E9C-101B-9397-08002B2CF9AE}" pid="6" name="MediaServiceImageTags">
    <vt:lpwstr/>
  </property>
  <property fmtid="{D5CDD505-2E9C-101B-9397-08002B2CF9AE}" pid="7" name="KSOProductBuildVer">
    <vt:lpwstr>1033-12.2.0.22549</vt:lpwstr>
  </property>
  <property fmtid="{D5CDD505-2E9C-101B-9397-08002B2CF9AE}" pid="8" name="ICV">
    <vt:lpwstr>A7457B7A86C740358F944E0F9EC51763_13</vt:lpwstr>
  </property>
</Properties>
</file>