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center"/>
        <w:outlineLvl w:val="2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 xml:space="preserve">I n d i v i d u á l n a  v ý r o č n á  s p r á v a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center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 xml:space="preserve">Obce </w:t>
      </w:r>
      <w:r w:rsidRPr="00E30E11">
        <w:rPr>
          <w:rFonts w:ascii="Arial" w:eastAsia="Times New Roman" w:hAnsi="Arial" w:cs="Arial"/>
          <w:b/>
          <w:bCs/>
          <w:color w:val="282828"/>
          <w:sz w:val="24"/>
          <w:szCs w:val="24"/>
          <w:shd w:val="clear" w:color="auto" w:fill="DDDDDD"/>
          <w:lang w:eastAsia="sk-SK"/>
        </w:rPr>
        <w:t>Podkriváň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center"/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za rok 2024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center"/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</w:pP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OBSAH str.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Úvodné slovo starostu obce 3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1. Identifikačné údaje obce 3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2. Organizačná štruktúra obce a identifikácia vedúcich predstaviteľov 3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3. Poslanie, vízie, ciele 4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4. Základná charakteristika obce 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5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4.1. Geografické údaje 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5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4.2. Demografické údaje 5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4.3. Ekonomické údaje 5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4.4. Symboly obce 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6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4.5. Logo obce 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6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4.6. História obce 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6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4.7. Pamiatky 6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4.8. Významné osobnosti obce 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7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5. Plnenie úloh obce (prenesené kompetencie, originálne kompetencie) 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7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5.1. Výchova a vzdelávanie 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7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5.2. Zdravotníctvo 7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5.3. Sociálne zabezpečenie 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8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5.4. Kultúra 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8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5.5. Doprava 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8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lastRenderedPageBreak/>
        <w:t xml:space="preserve">5.6. Územné plánovanie 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8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5.7. Hospodárstvo 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8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6. Informácia o vývoji obce z pohľadu rozpočtovníctva 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9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6.1. Plnenie príjmov a čerpanie výdavkov za rok 2024 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9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6.2. Prebytok/schodok rozpočtového hospodárenia za rok 2024 </w:t>
      </w:r>
      <w:r w:rsidR="00A94EB4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10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6.3. Rozpočet na roky 2025 – 2026 1</w:t>
      </w:r>
      <w:r w:rsidR="00A94EB4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2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7. Informácia o vývoji obce z pohľadu účtovníctva 12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7.1. Majetok 1</w:t>
      </w:r>
      <w:r w:rsidR="00A94EB4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3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7.2. Zdroje krytia 1</w:t>
      </w:r>
      <w:r w:rsidR="00A94EB4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4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7.3. Pohľadávky 1</w:t>
      </w:r>
      <w:r w:rsidR="00A94EB4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5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7.4. Záväzky 1</w:t>
      </w:r>
      <w:r w:rsidR="00A94EB4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5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8. Hospodársky výsledok za rok 2024 – vývoj nákladov a výnosov 1</w:t>
      </w:r>
      <w:r w:rsidR="00A94EB4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5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9. Ostatné významné skutočnosti, ktoré mali vplyv na hospodárenie a činnosť obce 16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9.1. Prijaté granty a transfery 16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9.2. Poskytnuté dotácie 1</w:t>
      </w:r>
      <w:r w:rsidR="00A94EB4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7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9.3. Významné investičné akcie v roku 2024 1</w:t>
      </w:r>
      <w:r w:rsidR="00A94EB4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7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9.4. Predpokladaný budúci vývoj činnosti 17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9.5 Udalosti osobitného významu po skončení účtovného obdobia 1</w:t>
      </w:r>
      <w:r w:rsidR="00A94EB4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8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9.6. Významné riziká a neistoty, ktorým je účtovná jednotka vystavená 1</w:t>
      </w:r>
      <w:r w:rsidR="00A94EB4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8</w:t>
      </w:r>
      <w:bookmarkStart w:id="0" w:name="_GoBack"/>
      <w:bookmarkEnd w:id="0"/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center"/>
        <w:outlineLvl w:val="2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196D03"/>
          <w:sz w:val="24"/>
          <w:szCs w:val="24"/>
          <w:lang w:eastAsia="sk-SK"/>
        </w:rPr>
        <w:t xml:space="preserve">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2"/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 xml:space="preserve">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2"/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 xml:space="preserve">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2"/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 xml:space="preserve">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2"/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 xml:space="preserve">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2"/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lastRenderedPageBreak/>
        <w:t xml:space="preserve">  Úvodné slovo starostu obce</w:t>
      </w:r>
    </w:p>
    <w:p w:rsidR="00E30E11" w:rsidRPr="00E30E11" w:rsidRDefault="00E30E11" w:rsidP="00E30E11">
      <w:pPr>
        <w:spacing w:before="100" w:beforeAutospacing="1" w:after="100" w:afterAutospacing="1" w:line="256" w:lineRule="auto"/>
        <w:outlineLvl w:val="2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196D03"/>
          <w:sz w:val="24"/>
          <w:szCs w:val="24"/>
          <w:lang w:eastAsia="sk-SK"/>
        </w:rPr>
        <w:t>Dokument, ktorý sa Vám dostáva do rúk by mal v skratke pripomenúť súčasnosť obce, základné charakteristiky, geografické a demografické údaje, históriu ako aj súčasnú ekonomickú situáciu a hospodárenie Obce Podkriváň.</w:t>
      </w:r>
    </w:p>
    <w:p w:rsidR="00E30E11" w:rsidRPr="00E30E11" w:rsidRDefault="00E30E11" w:rsidP="00E30E11">
      <w:pPr>
        <w:spacing w:before="100" w:beforeAutospacing="1" w:after="100" w:afterAutospacing="1" w:line="256" w:lineRule="auto"/>
        <w:jc w:val="both"/>
        <w:outlineLvl w:val="2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196D03"/>
          <w:sz w:val="24"/>
          <w:szCs w:val="24"/>
          <w:lang w:eastAsia="sk-SK"/>
        </w:rPr>
        <w:t xml:space="preserve">Na finančnú situáciu obce mali značný vplyv výpadky príjmov obce v dôsledku vojny na Ukrajine, ako aj inflácie. Obec sa snaží zachovať najdôležitejšie funkcie obce aj na ďalšie programové obdobie. Bude sa snažiť zapojiť do pripravovaných výziev a to hlavne zvýšením energetickej hospodárnosti budov, rekonštrukciou miestnych komunikácií.  </w:t>
      </w:r>
    </w:p>
    <w:p w:rsidR="00E30E11" w:rsidRPr="00E30E11" w:rsidRDefault="00E30E11" w:rsidP="00E30E11">
      <w:pPr>
        <w:spacing w:before="100" w:beforeAutospacing="1" w:after="100" w:afterAutospacing="1" w:line="256" w:lineRule="auto"/>
        <w:jc w:val="both"/>
        <w:outlineLvl w:val="2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196D03"/>
          <w:sz w:val="24"/>
          <w:szCs w:val="24"/>
          <w:lang w:eastAsia="sk-SK"/>
        </w:rPr>
        <w:t xml:space="preserve">Ukončuje svoje úvodné slovo s optimistickými predpokladmi rozvoja našej obce do ďalších rokov. </w:t>
      </w:r>
    </w:p>
    <w:p w:rsidR="00E30E11" w:rsidRPr="00E30E11" w:rsidRDefault="00E30E11" w:rsidP="00E30E11">
      <w:pPr>
        <w:spacing w:before="100" w:beforeAutospacing="1" w:after="100" w:afterAutospacing="1" w:line="256" w:lineRule="auto"/>
        <w:jc w:val="both"/>
        <w:outlineLvl w:val="2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196D03"/>
          <w:sz w:val="24"/>
          <w:szCs w:val="24"/>
          <w:lang w:eastAsia="sk-SK"/>
        </w:rPr>
        <w:t xml:space="preserve">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2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1. Identifikačné údaje obce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Názov: Obec Podkriváň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Sídlo: 98551  Podkriváň č. 87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IČO: 00316318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Štatutárny orgán obce: samospráva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Telefón: 047/4493101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E-mail: obecpodkrivan@gmail.com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Webová stránka: www.obecpodkrivan.sk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2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2. Organizačná štruktúra obce a identifikácia vedúcich predstaviteľov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Starosta obce: 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Jozef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Malatinec</w:t>
      </w:r>
      <w:proofErr w:type="spellEnd"/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Zástupca starostu obce: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Mgr. Peter Klimo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Hlavný kontrolór obce: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Ing. Ivan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Sivok</w:t>
      </w:r>
      <w:proofErr w:type="spellEnd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Obecné zastupiteľstvo: 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Mgr. Peter Klimo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Ing. Matej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Majerech</w:t>
      </w:r>
      <w:proofErr w:type="spellEnd"/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Iveta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Priadková</w:t>
      </w:r>
      <w:proofErr w:type="spellEnd"/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Erik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Kucbeľ</w:t>
      </w:r>
      <w:proofErr w:type="spellEnd"/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lastRenderedPageBreak/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Andrej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Kucbeľ</w:t>
      </w:r>
      <w:proofErr w:type="spellEnd"/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Pavol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Višniar</w:t>
      </w:r>
      <w:proofErr w:type="spellEnd"/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Róbert Kuruc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Komisie: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  <w:t>1. Finančná, správy majetku, ochrany verejného záujmu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  <w:t>2. Výstavby, územného plánovania a starostlivosti o životné prostredie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  <w:t xml:space="preserve">3. Sociálnych vecí, kultúry a školstva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Obecný úrad: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  <w:t xml:space="preserve">Alena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Kulichová</w:t>
      </w:r>
      <w:proofErr w:type="spellEnd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– odborný referent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Ľudvika</w:t>
      </w:r>
      <w:proofErr w:type="spellEnd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Hulinová</w:t>
      </w:r>
      <w:proofErr w:type="spellEnd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– odborný referent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Matričný úrad: 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Ľudvika</w:t>
      </w:r>
      <w:proofErr w:type="spellEnd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Hulinová</w:t>
      </w:r>
      <w:proofErr w:type="spellEnd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– matrikárka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Rozpočtové organizácie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obce (uviesť názov, sídlo, štatutárny orgán, základná činnosť, IČO, telefón, e-mail, webová stránka): nemá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Príspevkové organizácie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obce (uviesť názov, sídlo, štatutárny orgán, základná činnosť, IČO, telefón, e-mail, webová stránka): nemá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Neziskové organizácie/združenia/nadácie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založené obcou (uviesť názov, sídlo, štatutárny orgán, vklad do základného imania, predmet činnosti, IČO, telefón, e-mail, webová stránka): nemá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Obchodné spoločnosti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založené obcou (uviesť názov, sídlo, štatutárny orgán, vklad do základného imania, percentuálne podiely, podiel na hlasovacích právach, predmet činnosti, IČO, telefón, e-mail, webová stránka): nemá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2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3. Poslanie, vízie, ciele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Poslanie obce: rozvoj a strategické plánovanie, zvýšenie prosperity územia, zabezpečenie kvality života svojim obyvateľom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Vízie obce: trvalo udržateľného rozvoja obce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Ciele obce: PHSR obce Podkriváň (viď spracované v roku 2022)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2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lastRenderedPageBreak/>
        <w:t>4. Základná charakteristika obce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Obec je samostatný územný samosprávny a správny celok Slovenskej republiky. Obec je právnickou osobou, ktorá za podmienok ustanovených zákonom samostatne hospodári s vlastným majetkom a s vlastnými príjmami. Základnou úlohou obce pri výkone samosprávy je starostlivosť o všestranný rozvoj jej územia a o potreby jej obyvateľov.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4.1. Geografické údaje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Geografická poloha obce: Obec leží v Pohorí Poľany vo Zvolenskej kotline, na spojnici miest Lučenec a Zvolen, na rozhraní Slovenského Rudohoria a Javoria.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Susedné mestá a obce: Kriváň – obec, Korytárky – obec, Detva – mesto, Mýtna – obec, Hriňová – mesto, Budiná – obec, Dobroč – obec, Píla – obec, Detvianska Huta – obec.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Celková rozloha obce: 2 591 ha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Nadmorská výška: 444 m n. m.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 xml:space="preserve"> 4.2. Demografické údaje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Hustota a počet obyvateľov: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Národnostná štruktúra: 99,05 %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Štruktúra obyvateľstva podľa náboženského významu: 94 % Rímskokatolícka cirkev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Vývoj počtu obyvateľov: </w:t>
      </w:r>
    </w:p>
    <w:p w:rsidR="00E30E11" w:rsidRPr="00E30E11" w:rsidRDefault="00E30E11" w:rsidP="00E30E11">
      <w:pPr>
        <w:numPr>
          <w:ilvl w:val="0"/>
          <w:numId w:val="2"/>
        </w:numPr>
        <w:shd w:val="clear" w:color="auto" w:fill="F8F8F8"/>
        <w:spacing w:before="100" w:beforeAutospacing="1" w:after="100" w:afterAutospacing="1" w:line="256" w:lineRule="auto"/>
        <w:contextualSpacing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2018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  <w:t xml:space="preserve">557 obyvateľov </w:t>
      </w:r>
    </w:p>
    <w:p w:rsidR="00E30E11" w:rsidRPr="00E30E11" w:rsidRDefault="00E30E11" w:rsidP="00E30E11">
      <w:pPr>
        <w:numPr>
          <w:ilvl w:val="0"/>
          <w:numId w:val="2"/>
        </w:numPr>
        <w:shd w:val="clear" w:color="auto" w:fill="F8F8F8"/>
        <w:spacing w:before="100" w:beforeAutospacing="1" w:after="100" w:afterAutospacing="1" w:line="256" w:lineRule="auto"/>
        <w:contextualSpacing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2019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  <w:t>554 obyvateľov</w:t>
      </w:r>
    </w:p>
    <w:p w:rsidR="00E30E11" w:rsidRPr="00E30E11" w:rsidRDefault="00E30E11" w:rsidP="00E30E11">
      <w:pPr>
        <w:numPr>
          <w:ilvl w:val="0"/>
          <w:numId w:val="2"/>
        </w:numPr>
        <w:shd w:val="clear" w:color="auto" w:fill="F8F8F8"/>
        <w:spacing w:before="100" w:beforeAutospacing="1" w:after="100" w:afterAutospacing="1" w:line="256" w:lineRule="auto"/>
        <w:contextualSpacing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2020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  <w:t>565 obyvateľov</w:t>
      </w:r>
    </w:p>
    <w:p w:rsidR="00E30E11" w:rsidRPr="00E30E11" w:rsidRDefault="00E30E11" w:rsidP="00E30E11">
      <w:pPr>
        <w:numPr>
          <w:ilvl w:val="0"/>
          <w:numId w:val="2"/>
        </w:numPr>
        <w:shd w:val="clear" w:color="auto" w:fill="F8F8F8"/>
        <w:spacing w:before="100" w:beforeAutospacing="1" w:after="100" w:afterAutospacing="1" w:line="256" w:lineRule="auto"/>
        <w:contextualSpacing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2021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  <w:t>564 obyvateľov</w:t>
      </w:r>
    </w:p>
    <w:p w:rsidR="00E30E11" w:rsidRPr="00E30E11" w:rsidRDefault="00E30E11" w:rsidP="00E30E11">
      <w:pPr>
        <w:numPr>
          <w:ilvl w:val="0"/>
          <w:numId w:val="2"/>
        </w:numPr>
        <w:shd w:val="clear" w:color="auto" w:fill="F8F8F8"/>
        <w:spacing w:before="100" w:beforeAutospacing="1" w:after="100" w:afterAutospacing="1" w:line="256" w:lineRule="auto"/>
        <w:contextualSpacing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2022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  <w:t>558 obyvateľov</w:t>
      </w:r>
    </w:p>
    <w:p w:rsidR="00E30E11" w:rsidRPr="00E30E11" w:rsidRDefault="00E30E11" w:rsidP="00E30E11">
      <w:pPr>
        <w:numPr>
          <w:ilvl w:val="0"/>
          <w:numId w:val="2"/>
        </w:numPr>
        <w:shd w:val="clear" w:color="auto" w:fill="F8F8F8"/>
        <w:spacing w:before="100" w:beforeAutospacing="1" w:after="100" w:afterAutospacing="1" w:line="256" w:lineRule="auto"/>
        <w:contextualSpacing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2023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  <w:t xml:space="preserve">548 obyvateľov </w:t>
      </w:r>
    </w:p>
    <w:p w:rsidR="00E30E11" w:rsidRPr="00E30E11" w:rsidRDefault="00E30E11" w:rsidP="00E30E11">
      <w:pPr>
        <w:numPr>
          <w:ilvl w:val="0"/>
          <w:numId w:val="2"/>
        </w:numPr>
        <w:shd w:val="clear" w:color="auto" w:fill="F8F8F8"/>
        <w:spacing w:before="100" w:beforeAutospacing="1" w:after="100" w:afterAutospacing="1" w:line="256" w:lineRule="auto"/>
        <w:contextualSpacing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2024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  <w:t xml:space="preserve">557 obyvateľov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contextualSpacing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4.3. Ekonomické údaje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Nezamestnanosť v obci: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Nezamestnanosť v okrese: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Vývoj nezamestnanosti: Obec v snahe pomôcť občanom, ktorí sú nezamestnaní spolupracuje s príslušným Úradom práce, sociálnych vecí a rodiny.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lastRenderedPageBreak/>
        <w:t>4.4. Symboly obce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Erb obce: Spracovateľ – návrh prof. Novák,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Signum</w:t>
      </w:r>
      <w:proofErr w:type="spellEnd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Dunajská Lužná. Pri spracovaní vychádzal z historických faktov obce. Prevedenie – v modrom štíte na zelenej pažiti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zlatonimbý</w:t>
      </w:r>
      <w:proofErr w:type="spellEnd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,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striedmoodetý</w:t>
      </w:r>
      <w:proofErr w:type="spellEnd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, mečom opásaný svätý Martin, upaženou ľavicou si pridržiavajúci svoj červený plášť, sediaci v striebornom sedle strieborného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zlatokopytého</w:t>
      </w:r>
      <w:proofErr w:type="spellEnd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koňa v zlatom postroji, vpravo na pažiti sediaci obrátený žobrák, zo spodného okraja vyrastajúci zlatý snop.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Vlajka obce: 5 farebná vlajka (modrá, biela, žltá, červená a zelená)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Pečať obce: reliéfna pečiatka s erbom obce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 xml:space="preserve">4.5. Logo obce – obec nemá logo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4.6. História obce</w:t>
      </w:r>
    </w:p>
    <w:p w:rsidR="00E30E11" w:rsidRPr="00E30E11" w:rsidRDefault="00E30E11" w:rsidP="00E30E11">
      <w:pPr>
        <w:spacing w:before="100" w:beforeAutospacing="1" w:after="100" w:afterAutospacing="1" w:line="256" w:lineRule="auto"/>
        <w:rPr>
          <w:rFonts w:ascii="Calibri" w:eastAsia="Times New Roman" w:hAnsi="Calibri" w:cs="Times New Roman"/>
          <w:sz w:val="24"/>
          <w:szCs w:val="24"/>
          <w:lang w:eastAsia="sk-SK"/>
        </w:rPr>
      </w:pPr>
      <w:r w:rsidRPr="00E30E11">
        <w:rPr>
          <w:rFonts w:ascii="Calibri" w:eastAsia="Times New Roman" w:hAnsi="Calibri" w:cs="Times New Roman"/>
          <w:sz w:val="24"/>
          <w:szCs w:val="24"/>
          <w:lang w:eastAsia="sk-SK"/>
        </w:rPr>
        <w:t xml:space="preserve"> </w:t>
      </w:r>
    </w:p>
    <w:p w:rsidR="00E30E11" w:rsidRPr="00E30E11" w:rsidRDefault="00E30E11" w:rsidP="00E30E11">
      <w:pPr>
        <w:spacing w:before="100" w:beforeAutospacing="1" w:after="100" w:afterAutospacing="1" w:line="25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Slovenský historický názov obce je </w:t>
      </w:r>
      <w:proofErr w:type="spellStart"/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>Trhanová</w:t>
      </w:r>
      <w:proofErr w:type="spellEnd"/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 Na Podkriváň sa premenovala až v roku 1920. Obec vznikla v 18. Storočí. Najstarší písomný doklad o nej je z rokov 1742. V obecnej kronike sa predkladajú 3 zachované verzie o vzniku a pôvode obce. Najpravdepodobnejšia je tá, ktorá hovorí, že za grófa </w:t>
      </w:r>
      <w:proofErr w:type="spellStart"/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>Žichy</w:t>
      </w:r>
      <w:proofErr w:type="spellEnd"/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>-ho sa konali na hraniciach dvoch stolíc – Novohradskej a Zvolenskej pravidelne jarmoky, z toho je aj zachovaný názov – „</w:t>
      </w:r>
      <w:proofErr w:type="spellStart"/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>Trhanovský</w:t>
      </w:r>
      <w:proofErr w:type="spellEnd"/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most“ – koreň slova znie: „trh“, rozšírením slovka „</w:t>
      </w:r>
      <w:proofErr w:type="spellStart"/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>han</w:t>
      </w:r>
      <w:proofErr w:type="spellEnd"/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>“ vzniklo podstatné meno „Trhan“ a pridaním koncovky „</w:t>
      </w:r>
      <w:proofErr w:type="spellStart"/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>ová</w:t>
      </w:r>
      <w:proofErr w:type="spellEnd"/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>“ vznikol názov „TRHANOVÁ“ a takto sa niekoľko storočí užíval ako meno obce.</w:t>
      </w:r>
    </w:p>
    <w:p w:rsidR="00E30E11" w:rsidRPr="00E30E11" w:rsidRDefault="00E30E11" w:rsidP="00E30E11">
      <w:pPr>
        <w:spacing w:before="100" w:beforeAutospacing="1" w:after="100" w:afterAutospacing="1" w:line="25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Obyvatelia obce boli roľníci, želiari, remeselníci, robotníci. Živili sa predovšetkým poľnohospodárstvom.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 obci patrili viaceré osady, z ktorých osada Dolná Bzová ešte pred 19. Storočím tvorila samostatnú obec až do roku 1894, bola zrušená a rozdelená medzi obce Podkriváň a Mýtna. V roku 1894 bol v obci zriadený Notársky úrad. Prvý vlak tu zastavil 25. Novembra 1920. Dňa 12.09.1928 bol založený dobrovoľný hasičský zbor, ktorý mal 20 dobrovoľníkov. Škola bola založená v roku 1816. Prvým učiteľom bol Jozef Tomka, pochádzal zo Zvolenskej stolice, zároveň bol zvonárom a notárom. Najznámejším učiteľom bol Anton Emanuel Timko, ktorý tu pôsobil ako učiteľ 34 rokov a pochovaný je tu na miestnom cintoríne. Miestna dychová hudba bola založená v roku 1926. Farský kostol v Podkriváni bol postavený v roku 1803 a zasvätený bol sv. Martinovi, z tohto obdobia sa datuje pečatidlo obce. Stará fara bola postavená v roku 1801. Kultúrny dom sa začal stavať v roku 1957.  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4.7. Pamiatky</w:t>
      </w:r>
    </w:p>
    <w:p w:rsidR="00E30E11" w:rsidRPr="00E30E11" w:rsidRDefault="00E30E11" w:rsidP="00E30E11">
      <w:pPr>
        <w:numPr>
          <w:ilvl w:val="0"/>
          <w:numId w:val="4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>Pamätník padlým (2. sv. vojna)</w:t>
      </w:r>
    </w:p>
    <w:p w:rsidR="00E30E11" w:rsidRPr="00E30E11" w:rsidRDefault="00E30E11" w:rsidP="00E30E11">
      <w:pPr>
        <w:numPr>
          <w:ilvl w:val="0"/>
          <w:numId w:val="4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proofErr w:type="spellStart"/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>Kôrková</w:t>
      </w:r>
      <w:proofErr w:type="spellEnd"/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kaplnka (Horná Bzová)</w:t>
      </w:r>
    </w:p>
    <w:p w:rsidR="00E30E11" w:rsidRPr="00E30E11" w:rsidRDefault="00E30E11" w:rsidP="00E30E11">
      <w:pPr>
        <w:numPr>
          <w:ilvl w:val="0"/>
          <w:numId w:val="4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Hrob A.E. </w:t>
      </w:r>
      <w:proofErr w:type="spellStart"/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>Timku</w:t>
      </w:r>
      <w:proofErr w:type="spellEnd"/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(spisovateľ)</w:t>
      </w:r>
    </w:p>
    <w:p w:rsidR="00E30E11" w:rsidRPr="00E30E11" w:rsidRDefault="00E30E11" w:rsidP="00E30E11">
      <w:pPr>
        <w:numPr>
          <w:ilvl w:val="0"/>
          <w:numId w:val="4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Kaplnka Sv. Antona</w:t>
      </w:r>
    </w:p>
    <w:p w:rsidR="00E30E11" w:rsidRPr="00E30E11" w:rsidRDefault="00E30E11" w:rsidP="00E30E11">
      <w:pPr>
        <w:numPr>
          <w:ilvl w:val="0"/>
          <w:numId w:val="4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>Kostol sv. Martina, (1803)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4.8. Významné osobnosti obce</w:t>
      </w:r>
    </w:p>
    <w:p w:rsidR="00E30E11" w:rsidRPr="00E30E11" w:rsidRDefault="00E30E11" w:rsidP="00E30E11">
      <w:pPr>
        <w:numPr>
          <w:ilvl w:val="0"/>
          <w:numId w:val="6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>A. E. Timko /učiteľ, spisovateľ/</w:t>
      </w:r>
    </w:p>
    <w:p w:rsidR="00E30E11" w:rsidRPr="00E30E11" w:rsidRDefault="00E30E11" w:rsidP="00E30E11">
      <w:pPr>
        <w:numPr>
          <w:ilvl w:val="0"/>
          <w:numId w:val="6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Helena </w:t>
      </w:r>
      <w:proofErr w:type="spellStart"/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>Woleková</w:t>
      </w:r>
      <w:proofErr w:type="spellEnd"/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/riaditeľka nadácie SOCIA/</w:t>
      </w:r>
    </w:p>
    <w:p w:rsidR="00E30E11" w:rsidRPr="00E30E11" w:rsidRDefault="00E30E11" w:rsidP="00E30E11">
      <w:pPr>
        <w:numPr>
          <w:ilvl w:val="0"/>
          <w:numId w:val="6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Prof. RNDr. Lev Bukovský </w:t>
      </w:r>
      <w:proofErr w:type="spellStart"/>
      <w:r w:rsidRPr="00E30E11">
        <w:rPr>
          <w:rFonts w:ascii="Arial" w:eastAsia="Times New Roman" w:hAnsi="Arial" w:cs="Arial"/>
          <w:bCs/>
          <w:sz w:val="24"/>
          <w:szCs w:val="24"/>
          <w:lang w:eastAsia="sk-SK"/>
        </w:rPr>
        <w:t>DrSc</w:t>
      </w:r>
      <w:proofErr w:type="spellEnd"/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/vysokoškolský profesor, člen akademického UPJŠ/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2"/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5. Plnenie úloh obce (prenesené kompetencie, originálne kompetencie)</w:t>
      </w:r>
    </w:p>
    <w:p w:rsidR="00E30E11" w:rsidRPr="00E30E11" w:rsidRDefault="00E30E11" w:rsidP="00E30E11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>- prenesené kompetencie na všetkých úrovniach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5.1. Výchova a vzdelávanie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V súčasnosti je poskytovanie v oblasti výchovy a vzdelávania – Materská škola dočasne pozastavené, z dôvodu nedostatku žiakov, žiaci materskej školy sú zapísaní v spádovej obci Kriváň, ale aj v okolitých obciach a mestách okresu Detva. Základnú školu neprevádzkujeme, školská dochádzka je spádová v obci Kriváň. </w:t>
      </w:r>
    </w:p>
    <w:p w:rsidR="00E30E11" w:rsidRPr="00E30E11" w:rsidRDefault="00E30E11" w:rsidP="00E30E11">
      <w:pPr>
        <w:numPr>
          <w:ilvl w:val="0"/>
          <w:numId w:val="8"/>
        </w:num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Materská škola 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 xml:space="preserve">činnosť je dočasne pozastavená.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Na mimoškolské aktivity sú zriadené pre naše deti z obce Podkriváň v okolitých základných a materských školách v rámci okresu.</w:t>
      </w:r>
    </w:p>
    <w:p w:rsidR="00E30E11" w:rsidRPr="00E30E11" w:rsidRDefault="00E30E11" w:rsidP="00E30E11">
      <w:pPr>
        <w:numPr>
          <w:ilvl w:val="0"/>
          <w:numId w:val="10"/>
        </w:num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Základná umelecká škola 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v Detve</w:t>
      </w:r>
    </w:p>
    <w:p w:rsidR="00E30E11" w:rsidRPr="00E30E11" w:rsidRDefault="00E30E11" w:rsidP="00E30E11">
      <w:pPr>
        <w:numPr>
          <w:ilvl w:val="0"/>
          <w:numId w:val="10"/>
        </w:num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Centrum voľného času 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v Detve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Na základe analýzy doterajšieho vývoja možno očakávať, že rozvoj vzdelávania sa bude orientovať na: 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 xml:space="preserve">predškolská výchova detí a záujmové činnosti detí.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5.2. Zdravotníctvo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Zdravotnú starostlivosť v obci poskytuje:</w:t>
      </w:r>
    </w:p>
    <w:p w:rsidR="00E30E11" w:rsidRPr="00E30E11" w:rsidRDefault="00E30E11" w:rsidP="00E30E11">
      <w:pPr>
        <w:numPr>
          <w:ilvl w:val="0"/>
          <w:numId w:val="12"/>
        </w:numPr>
        <w:spacing w:before="100" w:beforeAutospacing="1" w:after="100" w:afterAutospacing="1" w:line="36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E30E11">
        <w:rPr>
          <w:rFonts w:ascii="Arial" w:eastAsia="Calibri" w:hAnsi="Arial" w:cs="Arial"/>
          <w:color w:val="484747"/>
          <w:sz w:val="24"/>
          <w:szCs w:val="24"/>
          <w:shd w:val="clear" w:color="auto" w:fill="FFFFFF"/>
          <w:lang w:eastAsia="sk-SK"/>
        </w:rPr>
        <w:t xml:space="preserve">FULLMED </w:t>
      </w:r>
      <w:proofErr w:type="spellStart"/>
      <w:r w:rsidRPr="00E30E11">
        <w:rPr>
          <w:rFonts w:ascii="Arial" w:eastAsia="Calibri" w:hAnsi="Arial" w:cs="Arial"/>
          <w:color w:val="484747"/>
          <w:sz w:val="24"/>
          <w:szCs w:val="24"/>
          <w:shd w:val="clear" w:color="auto" w:fill="FFFFFF"/>
          <w:lang w:eastAsia="sk-SK"/>
        </w:rPr>
        <w:t>s.r.o</w:t>
      </w:r>
      <w:proofErr w:type="spellEnd"/>
      <w:r w:rsidRPr="00E30E11">
        <w:rPr>
          <w:rFonts w:ascii="Arial" w:eastAsia="Calibri" w:hAnsi="Arial" w:cs="Arial"/>
          <w:color w:val="484747"/>
          <w:sz w:val="24"/>
          <w:szCs w:val="24"/>
          <w:shd w:val="clear" w:color="auto" w:fill="FFFFFF"/>
          <w:lang w:eastAsia="sk-SK"/>
        </w:rPr>
        <w:t xml:space="preserve">, </w:t>
      </w:r>
      <w:r w:rsidRPr="00E30E11">
        <w:rPr>
          <w:rFonts w:ascii="Arial" w:eastAsia="Times New Roman" w:hAnsi="Arial" w:cs="Arial"/>
          <w:sz w:val="24"/>
          <w:szCs w:val="24"/>
          <w:lang w:eastAsia="sk-SK"/>
        </w:rPr>
        <w:t xml:space="preserve">MUDr. </w:t>
      </w:r>
      <w:proofErr w:type="spellStart"/>
      <w:r w:rsidRPr="00E30E11">
        <w:rPr>
          <w:rFonts w:ascii="Arial" w:eastAsia="Times New Roman" w:hAnsi="Arial" w:cs="Arial"/>
          <w:sz w:val="24"/>
          <w:szCs w:val="24"/>
          <w:lang w:eastAsia="sk-SK"/>
        </w:rPr>
        <w:t>Galádová</w:t>
      </w:r>
      <w:proofErr w:type="spellEnd"/>
      <w:r w:rsidRPr="00E30E11">
        <w:rPr>
          <w:rFonts w:ascii="Arial" w:eastAsia="Times New Roman" w:hAnsi="Arial" w:cs="Arial"/>
          <w:sz w:val="24"/>
          <w:szCs w:val="24"/>
          <w:lang w:eastAsia="sk-SK"/>
        </w:rPr>
        <w:t xml:space="preserve">, so sídlom v Mýtnej – všeobecný lekár pre dospelých. Ordinačné hodiny v prevádzke v Podkriváni vo štvrtok od 08.00 hod. – 13.00 hod.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Ďalší poskytovatelia zdravotnej starostlivosti v okolí: </w:t>
      </w:r>
    </w:p>
    <w:p w:rsidR="00E30E11" w:rsidRPr="00E30E11" w:rsidRDefault="00E30E11" w:rsidP="00E30E11">
      <w:pPr>
        <w:numPr>
          <w:ilvl w:val="0"/>
          <w:numId w:val="14"/>
        </w:num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Poliklinika, n. o., 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v Detve</w:t>
      </w:r>
    </w:p>
    <w:p w:rsidR="00E30E11" w:rsidRPr="00E30E11" w:rsidRDefault="00E30E11" w:rsidP="00E30E11">
      <w:pPr>
        <w:numPr>
          <w:ilvl w:val="0"/>
          <w:numId w:val="14"/>
        </w:num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Nemocnica s poliklinikou 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Detva, Zvolen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Na základe analýzy doterajšieho vývoja možno očakávať, že rozvoj zdravotnej starostlivosti sa bude orientovať na: </w:t>
      </w:r>
      <w:r w:rsidRPr="00E30E11">
        <w:rPr>
          <w:rFonts w:ascii="Arial" w:eastAsia="Times New Roman" w:hAnsi="Arial" w:cs="Arial"/>
          <w:sz w:val="24"/>
          <w:szCs w:val="24"/>
          <w:lang w:eastAsia="sk-SK"/>
        </w:rPr>
        <w:t>poskytovanie zdravotnej starostlivosti aj v našej obci Podkriváň.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lastRenderedPageBreak/>
        <w:t>5.3. Sociálne zabezpečenie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Sociálne služby v obci zabezpečuje:</w:t>
      </w:r>
    </w:p>
    <w:p w:rsidR="00E30E11" w:rsidRPr="00E30E11" w:rsidRDefault="00E30E11" w:rsidP="00E30E11">
      <w:pPr>
        <w:numPr>
          <w:ilvl w:val="0"/>
          <w:numId w:val="16"/>
        </w:num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Zariadenie sociálnych služieb 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v meste Detve, v Hriňovej, v obci Dúbravy – najbližšie v okrese Detve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Na základe analýzy doterajšieho vývoja možno očakávať, že rozvoj sociálnych služieb sa bude orientovať na: </w:t>
      </w:r>
      <w:r w:rsidRPr="00E30E1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E30E11">
        <w:rPr>
          <w:rFonts w:ascii="Arial" w:eastAsia="Times New Roman" w:hAnsi="Arial" w:cs="Arial"/>
          <w:sz w:val="24"/>
          <w:szCs w:val="24"/>
          <w:lang w:eastAsia="sk-SK"/>
        </w:rPr>
        <w:t>pomoc pre starých občanov – posúdenie  zdravotného stavu a sociálneho života pre umiestňovanie do zariadení sociálnych služieb v okolitých mestách a obciach, ktoré takého zariadenia prevádzkujú.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5.4. Kultúra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Spoločenský a kultúrny život v obci zabezpečuje:</w:t>
      </w:r>
    </w:p>
    <w:p w:rsidR="00E30E11" w:rsidRPr="00E30E11" w:rsidRDefault="00E30E11" w:rsidP="00E30E11">
      <w:pPr>
        <w:numPr>
          <w:ilvl w:val="0"/>
          <w:numId w:val="18"/>
        </w:num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Kultúrny dom</w:t>
      </w:r>
    </w:p>
    <w:p w:rsidR="00E30E11" w:rsidRPr="00E30E11" w:rsidRDefault="00E30E11" w:rsidP="00E30E11">
      <w:pPr>
        <w:numPr>
          <w:ilvl w:val="0"/>
          <w:numId w:val="18"/>
        </w:num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Knižnica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Na základe analýzy doterajšieho vývoja možno očakávať, že kultúrny a spoločenský život sa bude orientovať na: </w:t>
      </w:r>
      <w:r w:rsidRPr="00E30E11">
        <w:rPr>
          <w:rFonts w:ascii="Arial" w:eastAsia="Times New Roman" w:hAnsi="Arial" w:cs="Arial"/>
          <w:sz w:val="24"/>
          <w:szCs w:val="24"/>
          <w:lang w:eastAsia="sk-SK"/>
        </w:rPr>
        <w:t>domáce prezentácie kultúrnych a spoločenských akcií v spolupráci s miestnymi organizáciami, akcie ZPOZ – uvítanie do života, jubilanti.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5.5. Doprava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Riešenie dopravy v obci: </w:t>
      </w:r>
    </w:p>
    <w:p w:rsidR="00E30E11" w:rsidRPr="00E30E11" w:rsidRDefault="00E30E11" w:rsidP="00E30E11">
      <w:pPr>
        <w:numPr>
          <w:ilvl w:val="0"/>
          <w:numId w:val="20"/>
        </w:num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vlaková</w:t>
      </w:r>
    </w:p>
    <w:p w:rsidR="00E30E11" w:rsidRPr="00E30E11" w:rsidRDefault="00E30E11" w:rsidP="00E30E11">
      <w:pPr>
        <w:numPr>
          <w:ilvl w:val="0"/>
          <w:numId w:val="20"/>
        </w:num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autobusová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5.6. Územné plánovanie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Riešenie územného plánovania v obci </w:t>
      </w:r>
    </w:p>
    <w:p w:rsidR="00E30E11" w:rsidRPr="00E30E11" w:rsidRDefault="00E30E11" w:rsidP="00E30E11">
      <w:pPr>
        <w:numPr>
          <w:ilvl w:val="0"/>
          <w:numId w:val="22"/>
        </w:num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 xml:space="preserve">obec nemá územné plánovanie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5.7. Hospodárstvo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Najvýznamnejší poskytovatelia služieb v obci:</w:t>
      </w:r>
    </w:p>
    <w:p w:rsidR="00E30E11" w:rsidRPr="00E30E11" w:rsidRDefault="00E30E11" w:rsidP="00E30E11">
      <w:pPr>
        <w:numPr>
          <w:ilvl w:val="0"/>
          <w:numId w:val="24"/>
        </w:num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Stolárstvo, predaj propán butánových fliaš, výkopové práce, stavebné práce, lesnícke práce, poľnohospodárske práce, vedenie účtovníctva a i.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Najvýznamnejší priemysel v obci :</w:t>
      </w:r>
    </w:p>
    <w:p w:rsidR="00E30E11" w:rsidRPr="00E30E11" w:rsidRDefault="00E30E11" w:rsidP="00E30E11">
      <w:pPr>
        <w:numPr>
          <w:ilvl w:val="0"/>
          <w:numId w:val="24"/>
        </w:num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 xml:space="preserve">Drevovýroba,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Kamenosochárstvo</w:t>
      </w:r>
      <w:proofErr w:type="spellEnd"/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 xml:space="preserve">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Najvýznamnejšia poľnohospodárska výroba v obci :</w:t>
      </w:r>
    </w:p>
    <w:p w:rsidR="00E30E11" w:rsidRPr="00E30E11" w:rsidRDefault="00E30E11" w:rsidP="00E30E11">
      <w:pPr>
        <w:numPr>
          <w:ilvl w:val="0"/>
          <w:numId w:val="24"/>
        </w:num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lastRenderedPageBreak/>
        <w:t>Chov oviec, poľnohospodárstvo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Na základe analýzy doterajšieho vývoja možno očakávať, že hospodársky život v obci sa bude orientovať na : poľnohospodárstvo, remeselná činnosť.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2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6. Informácia o vývoji obce z pohľadu rozpočtovníctva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Základným nástrojom finančného hospodárenia obce bol rozpočet obce na rok 2024.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Obec zostavila rozpočet podľa ustanovenia </w:t>
      </w:r>
      <w:hyperlink r:id="rId7" w:history="1">
        <w:r w:rsidRPr="00E30E11">
          <w:rPr>
            <w:rFonts w:ascii="Arial" w:eastAsia="Times New Roman" w:hAnsi="Arial" w:cs="Arial"/>
            <w:color w:val="196D03"/>
            <w:sz w:val="24"/>
            <w:szCs w:val="24"/>
            <w:u w:val="single"/>
            <w:lang w:eastAsia="sk-SK"/>
          </w:rPr>
          <w:t>§ 10 ods. 7 zákona č. 583/2004 Z. z.</w:t>
        </w:r>
      </w:hyperlink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o rozpočtových pravidlách územnej samosprávy a o zmene a doplnení niektorých zákonov v znení neskorších predpisov. Rozpočet obce na rok 2024 bol zostavený ako prebytkový. Bežný rozpočet bol zostavený ako prebytkový a kapitálový rozpočet nebol zostavený.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.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Hospodárenie obce sa riadilo podľa schváleného rozpočtu na rok 2024.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Rozpočet obce bol schválený obecným zastupiteľstvom dňa 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15.12.2023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uznesením č. 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....7...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Rozpočet bol zmenený jedenkrát:</w:t>
      </w:r>
    </w:p>
    <w:p w:rsidR="00E30E11" w:rsidRPr="00E30E11" w:rsidRDefault="00E30E11" w:rsidP="00E30E11">
      <w:pPr>
        <w:numPr>
          <w:ilvl w:val="0"/>
          <w:numId w:val="26"/>
        </w:num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prvá zmena schválená dňa 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26.09.2024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uznesením č.10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6.1. Plnenie príjmov a čerpanie výdavkov za rok 2024 v EUR</w:t>
      </w:r>
    </w:p>
    <w:tbl>
      <w:tblPr>
        <w:tblStyle w:val="TableNormal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DDDD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3"/>
        <w:gridCol w:w="1745"/>
        <w:gridCol w:w="1846"/>
        <w:gridCol w:w="2011"/>
        <w:gridCol w:w="1251"/>
      </w:tblGrid>
      <w:tr w:rsidR="00E30E11" w:rsidRPr="00E30E11" w:rsidTr="00E30E11">
        <w:trPr>
          <w:tblCellSpacing w:w="15" w:type="dxa"/>
        </w:trPr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Schválený rozpočet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Schválený rozpočet</w:t>
            </w: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br/>
              <w:t>po poslednej zmene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Skutočné</w:t>
            </w: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br/>
              <w:t>plnenie príjmov/čerpanie výdavkov</w:t>
            </w: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br/>
              <w:t>k 31. 12. 2024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% plnenia príjmov / % čerpania výdavkov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Príjmy celkom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256 530,00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313 824,27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359 314,88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114,50 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z toho: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Bežné príjmy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256 530,00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256 530,00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292 970,61  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114,21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Kapitálové príjmy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0,00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14 949,00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Finančné príjmy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0,00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57 294,27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51 395,27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Výdavky celkom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253 240,00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310 139,00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345 209,11 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111,31 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z toho: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Bežné výdavky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253 240,00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253 240,00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287 752,46 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113,63 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Kapitálové výdavky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0,00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56 899,00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57 456,65 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Finančné výdavky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0,00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0,00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0,00 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Rozpočet obce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+3 290,00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+3 685,27 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+14 105,77 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</w:tbl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lastRenderedPageBreak/>
        <w:t xml:space="preserve">V roku 2024 </w:t>
      </w:r>
      <w:r w:rsidRPr="00E30E11">
        <w:rPr>
          <w:rFonts w:ascii="Arial" w:eastAsia="Times New Roman" w:hAnsi="Arial" w:cs="Arial"/>
          <w:b/>
          <w:bCs/>
          <w:color w:val="282828"/>
          <w:sz w:val="24"/>
          <w:szCs w:val="24"/>
          <w:u w:val="single"/>
          <w:lang w:eastAsia="sk-SK"/>
        </w:rPr>
        <w:t>plnenie príjmov</w:t>
      </w:r>
      <w:r w:rsidRPr="00E30E11"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 xml:space="preserve"> vo významnej miere ovplyvnili príjmy:</w:t>
      </w:r>
    </w:p>
    <w:p w:rsidR="00E30E11" w:rsidRPr="00E30E11" w:rsidRDefault="00E30E11" w:rsidP="00E30E11">
      <w:pPr>
        <w:numPr>
          <w:ilvl w:val="0"/>
          <w:numId w:val="28"/>
        </w:num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v bežnom rozpočte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:</w:t>
      </w:r>
    </w:p>
    <w:p w:rsidR="00E30E11" w:rsidRPr="00E30E11" w:rsidRDefault="00E30E11" w:rsidP="00E30E11">
      <w:pPr>
        <w:numPr>
          <w:ilvl w:val="1"/>
          <w:numId w:val="28"/>
        </w:num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podielové dane, ktoré predstavovali zníženie oproti roku 2023 o 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6,01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% vo výške 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165 403,82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eur,</w:t>
      </w:r>
    </w:p>
    <w:p w:rsidR="00E30E11" w:rsidRPr="00E30E11" w:rsidRDefault="00E30E11" w:rsidP="00E30E11">
      <w:pPr>
        <w:numPr>
          <w:ilvl w:val="1"/>
          <w:numId w:val="28"/>
        </w:num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daň z nehnuteľností, ktorá predstavovala zvýšenie oproti roku 2023 o 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12,05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%, vo výške 59 108,84 eur,</w:t>
      </w:r>
    </w:p>
    <w:p w:rsidR="00E30E11" w:rsidRPr="00E30E11" w:rsidRDefault="00E30E11" w:rsidP="00E30E11">
      <w:pPr>
        <w:numPr>
          <w:ilvl w:val="1"/>
          <w:numId w:val="28"/>
        </w:num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komunálny odpad a drobný stavebný odpad, ktorý predstavoval zvýšenie oproti roku 2023 o 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0,45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%, vo výške 19 930,00 eur,</w:t>
      </w:r>
    </w:p>
    <w:p w:rsidR="00E30E11" w:rsidRPr="00E30E11" w:rsidRDefault="00E30E11" w:rsidP="00E30E11">
      <w:pPr>
        <w:numPr>
          <w:ilvl w:val="0"/>
          <w:numId w:val="28"/>
        </w:num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v kapitálovom rozpočte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:</w:t>
      </w:r>
    </w:p>
    <w:p w:rsidR="00E30E11" w:rsidRPr="00E30E11" w:rsidRDefault="00E30E11" w:rsidP="00E30E11">
      <w:pPr>
        <w:numPr>
          <w:ilvl w:val="1"/>
          <w:numId w:val="28"/>
        </w:num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 xml:space="preserve"> príjem dotácie na zakúpenie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mulčovača</w:t>
      </w:r>
      <w:proofErr w:type="spellEnd"/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 xml:space="preserve"> s príslušenstvom vo výške 14 949,00 Eur, </w:t>
      </w:r>
    </w:p>
    <w:p w:rsidR="00E30E11" w:rsidRPr="00E30E11" w:rsidRDefault="00E30E11" w:rsidP="00E30E11">
      <w:pPr>
        <w:numPr>
          <w:ilvl w:val="0"/>
          <w:numId w:val="28"/>
        </w:num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vo finančných operáciách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:</w:t>
      </w:r>
    </w:p>
    <w:p w:rsidR="00E30E11" w:rsidRPr="00E30E11" w:rsidRDefault="00E30E11" w:rsidP="00E30E11">
      <w:pPr>
        <w:numPr>
          <w:ilvl w:val="1"/>
          <w:numId w:val="28"/>
        </w:num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prevod finančných prostriedkov z úveru vo výške 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51 395,27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eur,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 xml:space="preserve">V roku 2024 </w:t>
      </w:r>
      <w:r w:rsidRPr="00E30E11">
        <w:rPr>
          <w:rFonts w:ascii="Arial" w:eastAsia="Times New Roman" w:hAnsi="Arial" w:cs="Arial"/>
          <w:b/>
          <w:bCs/>
          <w:color w:val="282828"/>
          <w:sz w:val="24"/>
          <w:szCs w:val="24"/>
          <w:u w:val="single"/>
          <w:lang w:eastAsia="sk-SK"/>
        </w:rPr>
        <w:t>čerpanie výdavkov</w:t>
      </w:r>
      <w:r w:rsidRPr="00E30E11"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 xml:space="preserve"> vo významnej miere ovplyvnili výdavky:</w:t>
      </w:r>
    </w:p>
    <w:p w:rsidR="00E30E11" w:rsidRPr="00E30E11" w:rsidRDefault="00E30E11" w:rsidP="00E30E11">
      <w:pPr>
        <w:numPr>
          <w:ilvl w:val="0"/>
          <w:numId w:val="30"/>
        </w:num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v bežnom rozpočte:</w:t>
      </w:r>
    </w:p>
    <w:p w:rsidR="00E30E11" w:rsidRPr="00E30E11" w:rsidRDefault="00E30E11" w:rsidP="00E30E11">
      <w:pPr>
        <w:numPr>
          <w:ilvl w:val="1"/>
          <w:numId w:val="30"/>
        </w:num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 xml:space="preserve"> zneškodňovanie, vývoz komunálneho odpadu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vo výške 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26 888,31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eur,</w:t>
      </w:r>
    </w:p>
    <w:p w:rsidR="00E30E11" w:rsidRPr="00E30E11" w:rsidRDefault="00E30E11" w:rsidP="00E30E11">
      <w:pPr>
        <w:numPr>
          <w:ilvl w:val="1"/>
          <w:numId w:val="30"/>
        </w:num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kultúrne služby vo výške  24 538,55 eur, </w:t>
      </w:r>
    </w:p>
    <w:p w:rsidR="00E30E11" w:rsidRPr="00E30E11" w:rsidRDefault="00E30E11" w:rsidP="00E30E11">
      <w:pPr>
        <w:numPr>
          <w:ilvl w:val="1"/>
          <w:numId w:val="30"/>
        </w:num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Staroba vo výške 19 029,21 eur, </w:t>
      </w:r>
    </w:p>
    <w:p w:rsidR="00E30E11" w:rsidRPr="00E30E11" w:rsidRDefault="00E30E11" w:rsidP="00E30E11">
      <w:pPr>
        <w:numPr>
          <w:ilvl w:val="0"/>
          <w:numId w:val="30"/>
        </w:num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v kapitálovom rozpočte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nerealizované investičné akcie:</w:t>
      </w:r>
    </w:p>
    <w:p w:rsidR="00E30E11" w:rsidRPr="00E30E11" w:rsidRDefault="00E30E11" w:rsidP="00E30E11">
      <w:pPr>
        <w:numPr>
          <w:ilvl w:val="1"/>
          <w:numId w:val="30"/>
        </w:num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 xml:space="preserve"> rekonštrukcia strechy na zdravotnom stredisku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vo výške 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12 089,60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eur,</w:t>
      </w:r>
    </w:p>
    <w:p w:rsidR="00E30E11" w:rsidRPr="00E30E11" w:rsidRDefault="00E30E11" w:rsidP="00E30E11">
      <w:pPr>
        <w:numPr>
          <w:ilvl w:val="1"/>
          <w:numId w:val="30"/>
        </w:num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nákup kosačky vo výške  5 899,00 eur, </w:t>
      </w:r>
    </w:p>
    <w:p w:rsidR="00E30E11" w:rsidRPr="00E30E11" w:rsidRDefault="00E30E11" w:rsidP="00E30E11">
      <w:pPr>
        <w:numPr>
          <w:ilvl w:val="1"/>
          <w:numId w:val="30"/>
        </w:num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rekonštrukcia oporného múra vo výške 39 468,05 eur,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6.2. Prebytok/schodok rozpočtového hospodárenia za rok 2024</w:t>
      </w:r>
    </w:p>
    <w:tbl>
      <w:tblPr>
        <w:tblStyle w:val="TableNormal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DDDD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10"/>
        <w:gridCol w:w="2205"/>
        <w:gridCol w:w="2370"/>
        <w:gridCol w:w="1410"/>
      </w:tblGrid>
      <w:tr w:rsidR="00E30E11" w:rsidRPr="00E30E11" w:rsidTr="00E30E11">
        <w:trPr>
          <w:tblCellSpacing w:w="15" w:type="dxa"/>
        </w:trPr>
        <w:tc>
          <w:tcPr>
            <w:tcW w:w="28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Hospodárenie obce</w:t>
            </w:r>
          </w:p>
        </w:tc>
        <w:tc>
          <w:tcPr>
            <w:tcW w:w="21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Skutočnosť k 31. 12. 2024 v EUR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rPr>
                <w:rFonts w:ascii="Arial" w:hAnsi="Arial" w:cs="Arial"/>
                <w:color w:val="282828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rPr>
                <w:rFonts w:ascii="Arial" w:hAnsi="Arial" w:cs="Arial"/>
                <w:color w:val="282828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Bežné príjmy spolu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292 970,61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Bežné výdavky spolu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287 752,46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Bežný rozpočet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+5 218,15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Kapitálové príjmy spolu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14 949,00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Kapitálové výdavky spolu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57 456,65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Kapitálový rozpočet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-42 507,65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Prebytok/schodok bežného a kapitálového rozpočtu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-37 289,50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lastRenderedPageBreak/>
              <w:t>Vylúčenie z prebytku/Úprava schodku HČ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Vylúčenie z prebytku/Úprava schodku PČ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(doplnkový zdroj financovania HČ, zdroj financovania PČ)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Upravený prebytok/schodok bežného a kapitálového rozpočtu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-37 289,50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Príjmové finančné operácie s výnimkou cudzích prostriedkov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- finančné zábezpeky školskej jedálne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- finančné zábezpeky na nájomné – napr. bytovky ŠFRB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- finančné zábezpeky na verejné obstarávanie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51 395,27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Výdavkové finančné operácie s výnimkou cudzích prostriedkov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- finančné zábezpeky školskej jedálne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- finančné zábezpeky na nájomné – napr. bytovky ŠFRB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- finančné zábezpeky na verejné obstarávanie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Rozdiel finančných operácií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+51 395,27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Príjmy spolu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307 919,61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VÝDAVKY SPOLU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345 209,11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lastRenderedPageBreak/>
              <w:t>Rozpočtové hospodárenie obce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-37 289,50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Vylúčenie z prebytku/Úprava schodku HČ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Vylúčenie z prebytku/Úprava schodku PČ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(doplnkový zdroj financovania HČ, zdroj financovania PČ)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Úprava hospodárenia o nevyčerpaný úver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Upravené rozpočtové hospodárenie obce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 xml:space="preserve">V ZÚ za rok 2024 oprava o + 396,71 €. 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</w:tr>
    </w:tbl>
    <w:p w:rsidR="00E30E11" w:rsidRPr="00E30E11" w:rsidRDefault="00E30E11" w:rsidP="00E30E11">
      <w:pPr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p w:rsidR="00E30E11" w:rsidRPr="00E30E11" w:rsidRDefault="00E30E11" w:rsidP="00E30E11">
      <w:pPr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p w:rsidR="00E30E11" w:rsidRPr="00E30E11" w:rsidRDefault="00E30E11" w:rsidP="00E30E11">
      <w:pPr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 xml:space="preserve">Samospráva hospodárila so schodkom vo výške </w:t>
      </w:r>
      <w:r w:rsidRPr="00E30E11"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-37 289,50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 xml:space="preserve"> EUR zistený na základe zákona o rozpočtových pravidlách územnej samosprávy. </w:t>
      </w:r>
    </w:p>
    <w:p w:rsidR="00E30E11" w:rsidRPr="00E30E11" w:rsidRDefault="00E30E11" w:rsidP="00E30E11">
      <w:pPr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 xml:space="preserve">V roku 2024 nevznikla tvorba rezervného fondu z dôvodu schodku hospodárenia. </w:t>
      </w:r>
    </w:p>
    <w:p w:rsidR="00E30E11" w:rsidRDefault="00E30E11" w:rsidP="00E30E11">
      <w:pPr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 xml:space="preserve"> </w:t>
      </w:r>
    </w:p>
    <w:p w:rsidR="00E30E11" w:rsidRPr="00E30E11" w:rsidRDefault="00E30E11" w:rsidP="00E30E11">
      <w:pPr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6.3. Rozpočet na roky 2025 – 2026 v EUR</w:t>
      </w:r>
    </w:p>
    <w:tbl>
      <w:tblPr>
        <w:tblStyle w:val="TableNormal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DDDD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0"/>
        <w:gridCol w:w="1620"/>
        <w:gridCol w:w="1830"/>
        <w:gridCol w:w="1785"/>
      </w:tblGrid>
      <w:tr w:rsidR="00E30E11" w:rsidRPr="00E30E11" w:rsidTr="00E30E11">
        <w:trPr>
          <w:tblCellSpacing w:w="15" w:type="dxa"/>
        </w:trPr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Skutočnosť k 31. 12. 2024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Rozpočet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na rok 2025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Rozpočet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na rok 2026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Príjmy celkom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359 314,88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256 530,00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256 530,00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z toho: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</w:p>
        </w:tc>
      </w:tr>
      <w:tr w:rsidR="00E30E11" w:rsidRPr="00E30E11" w:rsidTr="00E30E11">
        <w:trPr>
          <w:tblCellSpacing w:w="15" w:type="dxa"/>
        </w:trPr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Bežné príjmy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292 970,61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256 530,00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256 530,00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Kapitálové príjmy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14 949,00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Finančné príjmy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51 395,27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</w:tr>
    </w:tbl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tbl>
      <w:tblPr>
        <w:tblStyle w:val="TableNormal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DDDD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0"/>
        <w:gridCol w:w="1620"/>
        <w:gridCol w:w="1815"/>
        <w:gridCol w:w="1755"/>
      </w:tblGrid>
      <w:tr w:rsidR="00E30E11" w:rsidRPr="00E30E11" w:rsidTr="00E30E11">
        <w:trPr>
          <w:tblCellSpacing w:w="15" w:type="dxa"/>
        </w:trPr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lastRenderedPageBreak/>
              <w:t> 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Skutočnosť k 31. 12. 2024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Rozpočet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na rok 2025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Rozpočet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na rok 2026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Výdavky celkom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345 209,11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253 240,00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253 240,00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z toho: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</w:p>
        </w:tc>
      </w:tr>
      <w:tr w:rsidR="00E30E11" w:rsidRPr="00E30E11" w:rsidTr="00E30E11">
        <w:trPr>
          <w:tblCellSpacing w:w="15" w:type="dxa"/>
        </w:trPr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Bežné výdavky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287 752,46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253 240,00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253 240,00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Kapitálové výdavky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57 456,65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Finančné výdavky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</w:tr>
    </w:tbl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Dôvodová správa k rozpočtu na roky 2025 – 2026: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outlineLvl w:val="2"/>
        <w:rPr>
          <w:rFonts w:ascii="Calibri" w:eastAsia="Times New Roman" w:hAnsi="Calibri" w:cs="Times New Roman"/>
          <w:sz w:val="24"/>
          <w:szCs w:val="24"/>
          <w:lang w:eastAsia="sk-SK"/>
        </w:rPr>
      </w:pPr>
      <w:r w:rsidRPr="00E30E11">
        <w:rPr>
          <w:rFonts w:ascii="Calibri" w:eastAsia="Times New Roman" w:hAnsi="Calibri" w:cs="Times New Roman"/>
          <w:sz w:val="24"/>
          <w:szCs w:val="24"/>
          <w:lang w:eastAsia="sk-SK"/>
        </w:rPr>
        <w:t xml:space="preserve">Pri zostavovaní rozpočtu sa vychádzalo z viacročného rozpočtu schváleného v minulom období ako aj z predpokladaného podielu na výnosoch daní v správe štátu. Vychádzalo sa z doteraz známych skutočností a nadväzuje na predpokladané príjmy a výdavky. Vychádzalo sa taktiež z povinností pre obec uložených zákonmi, z transferov a iných príjmov a z prognózy vývoja makroekonomických ukazovateľov, z uzatvorených zmluvných vzťahov, z rozvojových plánov, prevádzkových potrieb a z požiadaviek a pripomienok obyvateľov obce.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jc w:val="both"/>
        <w:outlineLvl w:val="2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196D03"/>
          <w:sz w:val="24"/>
          <w:szCs w:val="24"/>
          <w:lang w:eastAsia="sk-SK"/>
        </w:rPr>
        <w:t xml:space="preserve">7. Informácia o vývoji obce z pohľadu účtovníctva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7.1. Majetok v EUR</w:t>
      </w:r>
    </w:p>
    <w:tbl>
      <w:tblPr>
        <w:tblStyle w:val="TableNormal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DDDD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10"/>
        <w:gridCol w:w="2781"/>
        <w:gridCol w:w="2665"/>
      </w:tblGrid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Názov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Skutočnosť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k 31. 12. 2023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Skutočnosť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k 31. 12. 2024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Majetok spolu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636 820,35 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670 614,31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Neobežný majetok spolu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574 510,13 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584 599,86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z toho: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Dlhodobý nehmotný majetok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Dlhodobý hmotný majetok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456 530,13 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442 329,86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Dlhodobý finančný majetok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117 980,00 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142 270,00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Obežný majetok spolu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62 032,22 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85 445,01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z toho: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Zásoby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Zúčtovanie medzi subjektmi VS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Dlhodobé pohľadávky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Krátkodobé pohľadávky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4 619,24 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3 370,25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Finančné účty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57 412,98 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82 074,76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lastRenderedPageBreak/>
              <w:t>Poskytnuté návratné fin. výpomoci dlh.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Poskytnuté návratné fin. výpomoci krát.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Časové rozlíšenie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278,00 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569,44</w:t>
            </w:r>
          </w:p>
        </w:tc>
      </w:tr>
    </w:tbl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7.2. Zdroje krytia v EUR</w:t>
      </w:r>
    </w:p>
    <w:tbl>
      <w:tblPr>
        <w:tblStyle w:val="TableNormal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DDDD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14"/>
        <w:gridCol w:w="2779"/>
        <w:gridCol w:w="2663"/>
      </w:tblGrid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Názov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Skutočnosť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k 31. 12. 2023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Skutočnosť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k 31. 12. 2024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Vlastné imanie a záväzky spolu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636 820,35 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670 614,31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Vlastné imanie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273 429,79 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287 874,45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z toho: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Oceňovacie rozdiely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0,00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Fondy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0,00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Výsledok hospodárenia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273 429,79 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287 874,45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Záväzky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112 444,85 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193 680,70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z toho: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Rezervy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6 000,00 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6 000,00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Zúčtovanie medzi subjektmi VS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16 052,22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Dlhodobé záväzky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201,84 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500,17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Krátkodobé záväzky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46 243,01 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51 128,31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Bankové úvery a výpomoci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60 000,00 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120 000,00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Časové rozlíšenie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250 945,71 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189 059,16</w:t>
            </w:r>
          </w:p>
        </w:tc>
      </w:tr>
    </w:tbl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Analýza </w:t>
      </w:r>
      <w:r w:rsidRPr="00E30E11">
        <w:rPr>
          <w:rFonts w:ascii="Arial" w:eastAsia="Times New Roman" w:hAnsi="Arial" w:cs="Arial"/>
          <w:color w:val="282828"/>
          <w:sz w:val="24"/>
          <w:szCs w:val="24"/>
          <w:u w:val="single"/>
          <w:lang w:eastAsia="sk-SK"/>
        </w:rPr>
        <w:t>významných položiek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z účtovnej závierky:</w:t>
      </w:r>
    </w:p>
    <w:p w:rsidR="00E30E11" w:rsidRPr="00E30E11" w:rsidRDefault="00E30E11" w:rsidP="00E30E11">
      <w:pPr>
        <w:numPr>
          <w:ilvl w:val="0"/>
          <w:numId w:val="32"/>
        </w:num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prírastok dlhodobého majetku – 57 456,65 EUR (účet 021 – 51 557,65 € a 023 – 5 899,00 €)</w:t>
      </w:r>
    </w:p>
    <w:p w:rsidR="00E30E11" w:rsidRPr="00E30E11" w:rsidRDefault="00E30E11" w:rsidP="00E30E11">
      <w:pPr>
        <w:numPr>
          <w:ilvl w:val="0"/>
          <w:numId w:val="32"/>
        </w:num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prírastok bankové úvery o 60 000,00 Eur. </w:t>
      </w:r>
    </w:p>
    <w:p w:rsidR="00E30E11" w:rsidRPr="00E30E11" w:rsidRDefault="00E30E11" w:rsidP="00E30E11">
      <w:pPr>
        <w:numPr>
          <w:ilvl w:val="0"/>
          <w:numId w:val="32"/>
        </w:num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Iné záväzky – splácanie projektu obnovy sústavy verejného osvetlenia – zostatok 33 880,00 Eur.</w:t>
      </w:r>
    </w:p>
    <w:p w:rsidR="00E30E11" w:rsidRPr="00E30E11" w:rsidRDefault="00E30E11" w:rsidP="00E30E11">
      <w:pPr>
        <w:numPr>
          <w:ilvl w:val="0"/>
          <w:numId w:val="32"/>
        </w:num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Prírastok finančného majetku – podiely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StVak</w:t>
      </w:r>
      <w:proofErr w:type="spellEnd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– úprava jednotkovej ceny o 24 290,00 Eur. </w:t>
      </w:r>
    </w:p>
    <w:p w:rsidR="00E30E11" w:rsidRDefault="00E30E11" w:rsidP="00E30E11">
      <w:pPr>
        <w:numPr>
          <w:ilvl w:val="0"/>
          <w:numId w:val="32"/>
        </w:num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Nezúčtovaná dotácia na zakúpenie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mulčovača</w:t>
      </w:r>
      <w:proofErr w:type="spellEnd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s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prísluš</w:t>
      </w:r>
      <w:proofErr w:type="spellEnd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. Vo výške 14 949,00 € a dohoda s Úradom práce sociálnych vecí a rodiny dohoda č. 24/33/54X/7 vo výške 1 103,22 €. </w:t>
      </w:r>
    </w:p>
    <w:p w:rsidR="00E30E11" w:rsidRPr="00E30E11" w:rsidRDefault="00E30E11" w:rsidP="00E30E11">
      <w:pPr>
        <w:shd w:val="clear" w:color="auto" w:fill="F8F8F8"/>
        <w:tabs>
          <w:tab w:val="left" w:pos="0"/>
          <w:tab w:val="left" w:pos="540"/>
        </w:tabs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lastRenderedPageBreak/>
        <w:t>7.3. Pohľadávky v EUR</w:t>
      </w:r>
    </w:p>
    <w:tbl>
      <w:tblPr>
        <w:tblStyle w:val="TableNormal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DDDD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79"/>
        <w:gridCol w:w="2104"/>
        <w:gridCol w:w="1973"/>
      </w:tblGrid>
      <w:tr w:rsidR="00E30E11" w:rsidRPr="00E30E11" w:rsidTr="00E30E11">
        <w:trPr>
          <w:tblCellSpacing w:w="15" w:type="dxa"/>
        </w:trPr>
        <w:tc>
          <w:tcPr>
            <w:tcW w:w="5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Pohľadávky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Zostatok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k 31. 12. 2023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Zostatok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k 31. 12. 2024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5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Pohľadávky do lehoty splatnosti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4 619,24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3 370,25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5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Pohľadávky po lehote splatnosti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0,00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0,00 </w:t>
            </w:r>
          </w:p>
        </w:tc>
      </w:tr>
    </w:tbl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7.4. Záväzky v EUR</w:t>
      </w:r>
    </w:p>
    <w:tbl>
      <w:tblPr>
        <w:tblStyle w:val="TableNormal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DDDD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46"/>
        <w:gridCol w:w="2120"/>
        <w:gridCol w:w="1990"/>
      </w:tblGrid>
      <w:tr w:rsidR="00E30E11" w:rsidRPr="00E30E11" w:rsidTr="00E30E11">
        <w:trPr>
          <w:tblCellSpacing w:w="15" w:type="dxa"/>
        </w:trPr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Záväzky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Zostatok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k 31. 12. 2023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Zostatok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k 31. 12. 2024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Záväzky do lehoty splatnosti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112 444,85 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193 680,70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Záväzky po lehote splatnosti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0,00 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0,00 </w:t>
            </w:r>
          </w:p>
        </w:tc>
      </w:tr>
    </w:tbl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Analýza významných položiek z účtovnej závierky:</w:t>
      </w:r>
    </w:p>
    <w:p w:rsidR="00E30E11" w:rsidRPr="00E30E11" w:rsidRDefault="00E30E11" w:rsidP="00E30E11">
      <w:pPr>
        <w:numPr>
          <w:ilvl w:val="0"/>
          <w:numId w:val="34"/>
        </w:num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zníženie pohľadávok z dôvodu zaplatenia daní od daňovníkov (evidencia nedoplatkov)</w:t>
      </w:r>
    </w:p>
    <w:p w:rsidR="00E30E11" w:rsidRPr="00E30E11" w:rsidRDefault="00E30E11" w:rsidP="00E30E11">
      <w:pPr>
        <w:numPr>
          <w:ilvl w:val="0"/>
          <w:numId w:val="34"/>
        </w:num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zvýšenie záväzkov oproti roku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 xml:space="preserve"> 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2023.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2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8. Hospodársky výsledok za 2024 – vývoj nákladov a výnosov v EUR</w:t>
      </w:r>
    </w:p>
    <w:tbl>
      <w:tblPr>
        <w:tblStyle w:val="TableNormal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DDDD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91"/>
        <w:gridCol w:w="2332"/>
        <w:gridCol w:w="3333"/>
      </w:tblGrid>
      <w:tr w:rsidR="00E30E11" w:rsidRPr="00E30E11" w:rsidTr="00E30E11">
        <w:trPr>
          <w:tblCellSpacing w:w="15" w:type="dxa"/>
        </w:trPr>
        <w:tc>
          <w:tcPr>
            <w:tcW w:w="3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Názov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Skutočnosť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k 31. 12. 2023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Skutočnosť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k 31. 12. 2024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Náklady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366 563,39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368 516,61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50 – Spotrebované nákupy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55 275,46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41 378,92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51 – Služby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58 824,21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67 251,68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52 – Osobné náklady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163 636,82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163 506,10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53 – Dane a poplatky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2 048,56 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2 872,79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54 – Ostatné náklady na prevádzkovú činnosť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4 641,16 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8 865,89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55 – Odpisy, rezervy a OP z prevádzkovej a finančnej činnosti a zúčtovanie časového rozlíšenia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75 757,40 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77 656,92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56 – Finančné náklady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3 317,38 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3 921,91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58 – Náklady na transfery a náklady z odvodov príjmov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3 062,40 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3 062,40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59 – Dane z príjmov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lastRenderedPageBreak/>
              <w:t>Výnosy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368 167,88 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358 144,89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60 – Tržby za vlastné výkony a tovar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1 597,25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61 – Zmena stavu vnútroorganizačných služieb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0,00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62 – Aktivácia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63 – Daňové a colné výnosy a výnosy z poplatkov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255 059,88 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250 436,19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64 – Ostatné výnosy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13 489,42 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7 452,81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65 – Zúčtovanie rezerv a OP z prevádzkovej a finančnej činnosti a zúčtovanie časového rozlíšenia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6 000,00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6 000,00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66 – Finančné výnosy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0,07 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1,04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69 – Výnosy z transferov a rozpočtových príjmov v obciach, VÚC a v RO a PO zriadených obcou alebo VÚC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93 618,51 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92 657,60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3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Hospodársky výsledok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(+ kladný HV, - záporný HV)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+ 1 604,49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numPr>
                <w:ilvl w:val="2"/>
                <w:numId w:val="28"/>
              </w:numPr>
              <w:spacing w:before="100" w:beforeAutospacing="1" w:after="100" w:afterAutospacing="1" w:line="256" w:lineRule="auto"/>
              <w:contextualSpacing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10 371,72</w:t>
            </w:r>
          </w:p>
        </w:tc>
      </w:tr>
    </w:tbl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Hospodársky výsledok (záporný) v sume 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– 10 371,72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eur bol zúčtovaný na účet 428 –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Nevysporiadaný</w:t>
      </w:r>
      <w:proofErr w:type="spellEnd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výsledok hospodárenia minulých rokov.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Analýza nákladov a výnosov v porovnaní s minulým rokom a s vysvetlením významných rozdielov: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Oproti roku 2023 sme zaznamenali zníženie výnosov a zvýšenie nákladov.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2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9. Ostatné významné skutočnosti, ktoré mali vplyv na hospodárenie a činnosť obce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9.1. Prijaté granty a transfery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V roku 2024 obec prijala nasledovné granty a transfery:</w:t>
      </w:r>
    </w:p>
    <w:tbl>
      <w:tblPr>
        <w:tblStyle w:val="TableNormal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DDDD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50"/>
        <w:gridCol w:w="4800"/>
        <w:gridCol w:w="2355"/>
      </w:tblGrid>
      <w:tr w:rsidR="00E30E11" w:rsidRPr="00E30E11" w:rsidTr="00E30E11">
        <w:trPr>
          <w:tblCellSpacing w:w="15" w:type="dxa"/>
        </w:trPr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Poskytovateľ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Účelové určenie grantov a transferov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Suma prijatých prostriedkov v EUR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 xml:space="preserve"> MF SR 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 xml:space="preserve">FP na voľby prezidenta SR 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4 204,10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 xml:space="preserve"> MF SR 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 xml:space="preserve">FP na voľby do EP 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2 042,48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lastRenderedPageBreak/>
              <w:t xml:space="preserve">ÚPSVaR 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 xml:space="preserve">Dohoda č. 243354X5 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 5 516,04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 xml:space="preserve">ÚPSVaR 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Dohoda č. 243354X7  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6 619,32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 xml:space="preserve">MF SR 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FP doplatok k financovaniu samospráv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3 114,00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 xml:space="preserve">EF 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Kapitálový transfer – malotraktor s </w:t>
            </w:r>
            <w:proofErr w:type="spellStart"/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prísl</w:t>
            </w:r>
            <w:proofErr w:type="spellEnd"/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 xml:space="preserve">. 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right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color w:val="282828"/>
                <w:sz w:val="24"/>
                <w:szCs w:val="24"/>
              </w:rPr>
              <w:t>14 949,00</w:t>
            </w:r>
          </w:p>
        </w:tc>
      </w:tr>
    </w:tbl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Popis najvýznamnejších prijatých grantov a transferov:</w:t>
      </w:r>
    </w:p>
    <w:p w:rsidR="00E30E11" w:rsidRPr="00E30E11" w:rsidRDefault="00E30E11" w:rsidP="00E30E11">
      <w:pPr>
        <w:numPr>
          <w:ilvl w:val="0"/>
          <w:numId w:val="36"/>
        </w:num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 xml:space="preserve">Obec v roku 2024 získala dotáciu na projekt: financovanie zvýšených služieb v odpadovom hospodárstve, zmluva č. 241746 08U03 – kapitálový transfer vo výške 14 949,00 Eur na zakúpenie malotraktora,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mulčovača</w:t>
      </w:r>
      <w:proofErr w:type="spellEnd"/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 xml:space="preserve">,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štiepkovača</w:t>
      </w:r>
      <w:proofErr w:type="spellEnd"/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 xml:space="preserve"> a snežného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pluha</w:t>
      </w:r>
      <w:proofErr w:type="spellEnd"/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 xml:space="preserve">.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9.2. Poskytnuté dotácie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V roku 2024 obec poskytla zo svojho rozpočtu dotácie v zmysle VZN č. 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5/2008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o poskytovaní dotácií z rozpočtu obce: neposkytovali sa v roku 2024.</w:t>
      </w:r>
    </w:p>
    <w:tbl>
      <w:tblPr>
        <w:tblStyle w:val="TableNormal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DDDD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50"/>
        <w:gridCol w:w="4800"/>
        <w:gridCol w:w="2355"/>
      </w:tblGrid>
      <w:tr w:rsidR="00E30E11" w:rsidRPr="00E30E11" w:rsidTr="00E30E11">
        <w:trPr>
          <w:tblCellSpacing w:w="15" w:type="dxa"/>
        </w:trPr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Prijímateľ dotácie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Účelové určenie dotácie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Suma poskytnutých</w:t>
            </w:r>
          </w:p>
          <w:p w:rsidR="00E30E11" w:rsidRPr="00E30E11" w:rsidRDefault="00E30E11" w:rsidP="00E30E11">
            <w:pPr>
              <w:spacing w:before="100" w:beforeAutospacing="1" w:after="100" w:afterAutospacing="1" w:line="256" w:lineRule="auto"/>
              <w:jc w:val="center"/>
              <w:rPr>
                <w:rFonts w:ascii="Arial" w:hAnsi="Arial" w:cs="Arial"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b/>
                <w:bCs/>
                <w:color w:val="282828"/>
                <w:sz w:val="24"/>
                <w:szCs w:val="24"/>
              </w:rPr>
              <w:t>prostriedkov v EUR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strike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strike/>
                <w:color w:val="282828"/>
                <w:sz w:val="24"/>
                <w:szCs w:val="24"/>
              </w:rPr>
              <w:t>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strike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strike/>
                <w:color w:val="282828"/>
                <w:sz w:val="24"/>
                <w:szCs w:val="24"/>
              </w:rPr>
              <w:t> 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strike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strike/>
                <w:color w:val="282828"/>
                <w:sz w:val="24"/>
                <w:szCs w:val="24"/>
              </w:rPr>
              <w:t> </w:t>
            </w:r>
          </w:p>
        </w:tc>
      </w:tr>
      <w:tr w:rsidR="00E30E11" w:rsidRPr="00E30E11" w:rsidTr="00E30E11">
        <w:trPr>
          <w:tblCellSpacing w:w="15" w:type="dxa"/>
        </w:trPr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strike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strike/>
                <w:color w:val="282828"/>
                <w:sz w:val="24"/>
                <w:szCs w:val="24"/>
              </w:rPr>
              <w:t>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strike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strike/>
                <w:color w:val="282828"/>
                <w:sz w:val="24"/>
                <w:szCs w:val="24"/>
              </w:rPr>
              <w:t> 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:rsidR="00E30E11" w:rsidRPr="00E30E11" w:rsidRDefault="00E30E11" w:rsidP="00E30E11">
            <w:pPr>
              <w:spacing w:before="100" w:beforeAutospacing="1" w:after="100" w:afterAutospacing="1" w:line="256" w:lineRule="auto"/>
              <w:rPr>
                <w:rFonts w:ascii="Arial" w:hAnsi="Arial" w:cs="Arial"/>
                <w:strike/>
                <w:color w:val="282828"/>
                <w:sz w:val="24"/>
                <w:szCs w:val="24"/>
              </w:rPr>
            </w:pPr>
            <w:r w:rsidRPr="00E30E11">
              <w:rPr>
                <w:rFonts w:ascii="Arial" w:hAnsi="Arial" w:cs="Arial"/>
                <w:strike/>
                <w:color w:val="282828"/>
                <w:sz w:val="24"/>
                <w:szCs w:val="24"/>
              </w:rPr>
              <w:t> </w:t>
            </w:r>
          </w:p>
        </w:tc>
      </w:tr>
    </w:tbl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9.3. Významné investičné akcie v roku 2024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Najvýznamnejšie investičné akcie realizované v roku 2024:</w:t>
      </w:r>
    </w:p>
    <w:p w:rsidR="00E30E11" w:rsidRPr="00E30E11" w:rsidRDefault="00E30E11" w:rsidP="00E30E11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sz w:val="24"/>
          <w:szCs w:val="24"/>
          <w:shd w:val="clear" w:color="auto" w:fill="D9D9D9"/>
          <w:lang w:eastAsia="sk-SK"/>
        </w:rPr>
      </w:pPr>
      <w:r w:rsidRPr="00E30E11">
        <w:rPr>
          <w:rFonts w:ascii="Arial" w:eastAsia="Times New Roman" w:hAnsi="Arial" w:cs="Arial"/>
          <w:sz w:val="24"/>
          <w:szCs w:val="24"/>
          <w:shd w:val="clear" w:color="auto" w:fill="D9D9D9"/>
          <w:lang w:eastAsia="sk-SK"/>
        </w:rPr>
        <w:t xml:space="preserve">V roku 2024 sa následkom nepriaznivého počasia musela rekonštruovať prístupová cesta a most, kde výška nákladov predstavovala čiastku 39 468,05 Eur, jednalo sa o havarijný stav komunikácie. Práce previedla firma JL- IRO, </w:t>
      </w:r>
      <w:proofErr w:type="spellStart"/>
      <w:r w:rsidRPr="00E30E11">
        <w:rPr>
          <w:rFonts w:ascii="Arial" w:eastAsia="Times New Roman" w:hAnsi="Arial" w:cs="Arial"/>
          <w:sz w:val="24"/>
          <w:szCs w:val="24"/>
          <w:shd w:val="clear" w:color="auto" w:fill="D9D9D9"/>
          <w:lang w:eastAsia="sk-SK"/>
        </w:rPr>
        <w:t>s.r.o</w:t>
      </w:r>
      <w:proofErr w:type="spellEnd"/>
      <w:r w:rsidRPr="00E30E11">
        <w:rPr>
          <w:rFonts w:ascii="Arial" w:eastAsia="Times New Roman" w:hAnsi="Arial" w:cs="Arial"/>
          <w:sz w:val="24"/>
          <w:szCs w:val="24"/>
          <w:shd w:val="clear" w:color="auto" w:fill="D9D9D9"/>
          <w:lang w:eastAsia="sk-SK"/>
        </w:rPr>
        <w:t>., Podkriváň.</w:t>
      </w:r>
    </w:p>
    <w:p w:rsidR="00E30E11" w:rsidRPr="00E30E11" w:rsidRDefault="00E30E11" w:rsidP="00E30E11">
      <w:pPr>
        <w:numPr>
          <w:ilvl w:val="0"/>
          <w:numId w:val="38"/>
        </w:num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Ďalej sa zrekonštruovala strecha na zdravotnom stredisku vo výške 12 089,60 Eur, práce previedla firma EKONSTAV DUO,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s.r.o</w:t>
      </w:r>
      <w:proofErr w:type="spellEnd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., Podkriváň. </w:t>
      </w:r>
    </w:p>
    <w:p w:rsidR="00E30E11" w:rsidRPr="00E30E11" w:rsidRDefault="00E30E11" w:rsidP="00E30E11">
      <w:pPr>
        <w:numPr>
          <w:ilvl w:val="0"/>
          <w:numId w:val="38"/>
        </w:numPr>
        <w:shd w:val="clear" w:color="auto" w:fill="F8F8F8"/>
        <w:spacing w:before="100" w:beforeAutospacing="1" w:after="100" w:afterAutospacing="1" w:line="256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Vo výške 5 899,00 Eur sa zakúpila kosačka.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9.4. Predpokladaný budúci vývoj činnosti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Predpokladané investičné akcie realizované v budúcich rokoch:</w:t>
      </w:r>
    </w:p>
    <w:p w:rsidR="00E30E11" w:rsidRPr="00E30E11" w:rsidRDefault="00E30E11" w:rsidP="00E30E11">
      <w:pPr>
        <w:numPr>
          <w:ilvl w:val="0"/>
          <w:numId w:val="40"/>
        </w:num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 xml:space="preserve">V roku 2025 – opravy a rekonštrukcie miestnych komunikácií, opravy – úpravy a rekonštrukcia  budovy kultúrneho domu a ostatných budov patriacich obci, vybudovanie zberného dvora, </w:t>
      </w:r>
    </w:p>
    <w:p w:rsidR="00E30E11" w:rsidRPr="00E30E11" w:rsidRDefault="00E30E11" w:rsidP="00E30E11">
      <w:pPr>
        <w:numPr>
          <w:ilvl w:val="0"/>
          <w:numId w:val="40"/>
        </w:num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lastRenderedPageBreak/>
        <w:t>V rokoch 2025 -2029 pripraviť projekty na nové programovacie obdobie.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9.5. Udalosti osobitného významu po skončení účtovného obdobia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Obec nezaznamenala žiadnu udalosť osobitného významu po skončení účtovného obdobia, za ktoré sa vyhotovuje výročná správa.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9.6. Významné riziká a neistoty, ktorým je účtovná jednotka vystavená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Napr.: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a) Obec nevedie súdny spor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.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b) Iné významné riziká a neistoty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 xml:space="preserve"> – žiadne.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Vypracoval: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  <w:t xml:space="preserve"> Schválil: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Alena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Kulichová</w:t>
      </w:r>
      <w:proofErr w:type="spellEnd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  <w:t xml:space="preserve">Jozef </w:t>
      </w:r>
      <w:proofErr w:type="spellStart"/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Malatinec</w:t>
      </w:r>
      <w:proofErr w:type="spellEnd"/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Hospodárka obce 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  <w:t>starosta obce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V 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Podkriváni</w:t>
      </w: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dňa </w:t>
      </w:r>
      <w:r w:rsidRPr="00E30E11"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12.05.2025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Prílohy:</w:t>
      </w:r>
    </w:p>
    <w:p w:rsidR="00E30E11" w:rsidRPr="00E30E11" w:rsidRDefault="00E30E11" w:rsidP="00E30E11">
      <w:pPr>
        <w:numPr>
          <w:ilvl w:val="0"/>
          <w:numId w:val="42"/>
        </w:num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Individuálna účtovná závierka: Súvaha, Výkaz ziskov a strát, Poznámky</w:t>
      </w:r>
    </w:p>
    <w:p w:rsidR="00E30E11" w:rsidRPr="00E30E11" w:rsidRDefault="00E30E11" w:rsidP="00E30E11">
      <w:pPr>
        <w:numPr>
          <w:ilvl w:val="0"/>
          <w:numId w:val="42"/>
        </w:num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>Výrok audítora k individuálnej účtovnej závierke</w:t>
      </w:r>
    </w:p>
    <w:p w:rsidR="00E30E11" w:rsidRPr="00E30E11" w:rsidRDefault="00E30E11" w:rsidP="00E30E11">
      <w:pPr>
        <w:shd w:val="clear" w:color="auto" w:fill="F8F8F8"/>
        <w:spacing w:before="100" w:beforeAutospacing="1" w:after="100" w:afterAutospacing="1" w:line="256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 w:rsidRPr="00E30E11"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p w:rsidR="00E30E11" w:rsidRPr="00E30E11" w:rsidRDefault="00E30E11" w:rsidP="00E30E11">
      <w:pPr>
        <w:spacing w:before="100" w:beforeAutospacing="1" w:after="100" w:afterAutospacing="1" w:line="256" w:lineRule="auto"/>
        <w:rPr>
          <w:rFonts w:ascii="Calibri" w:eastAsia="Times New Roman" w:hAnsi="Calibri" w:cs="Times New Roman"/>
          <w:sz w:val="24"/>
          <w:szCs w:val="24"/>
          <w:lang w:eastAsia="sk-SK"/>
        </w:rPr>
      </w:pPr>
      <w:r w:rsidRPr="00E30E11">
        <w:rPr>
          <w:rFonts w:ascii="Calibri" w:eastAsia="Times New Roman" w:hAnsi="Calibri" w:cs="Times New Roman"/>
          <w:sz w:val="24"/>
          <w:szCs w:val="24"/>
          <w:lang w:eastAsia="sk-SK"/>
        </w:rPr>
        <w:t xml:space="preserve"> </w:t>
      </w:r>
    </w:p>
    <w:p w:rsidR="0059364F" w:rsidRDefault="0059364F"/>
    <w:sectPr w:rsidR="0059364F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134E" w:rsidRDefault="0032134E" w:rsidP="00E30E11">
      <w:pPr>
        <w:spacing w:after="0" w:line="240" w:lineRule="auto"/>
      </w:pPr>
      <w:r>
        <w:separator/>
      </w:r>
    </w:p>
  </w:endnote>
  <w:endnote w:type="continuationSeparator" w:id="0">
    <w:p w:rsidR="0032134E" w:rsidRDefault="0032134E" w:rsidP="00E30E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3629427"/>
      <w:docPartObj>
        <w:docPartGallery w:val="Page Numbers (Bottom of Page)"/>
        <w:docPartUnique/>
      </w:docPartObj>
    </w:sdtPr>
    <w:sdtContent>
      <w:p w:rsidR="00E30E11" w:rsidRDefault="00E30E11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E30E11" w:rsidRDefault="00E30E11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134E" w:rsidRDefault="0032134E" w:rsidP="00E30E11">
      <w:pPr>
        <w:spacing w:after="0" w:line="240" w:lineRule="auto"/>
      </w:pPr>
      <w:r>
        <w:separator/>
      </w:r>
    </w:p>
  </w:footnote>
  <w:footnote w:type="continuationSeparator" w:id="0">
    <w:p w:rsidR="0032134E" w:rsidRDefault="0032134E" w:rsidP="00E30E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3178D"/>
    <w:multiLevelType w:val="multilevel"/>
    <w:tmpl w:val="49268B22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  <w:tab w:val="left" w:pos="1620"/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892AC9"/>
    <w:multiLevelType w:val="multilevel"/>
    <w:tmpl w:val="4844DB62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  <w:tab w:val="left" w:pos="1620"/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3718E8"/>
    <w:multiLevelType w:val="multilevel"/>
    <w:tmpl w:val="7F6A7890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  <w:tab w:val="left" w:pos="1620"/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A37928"/>
    <w:multiLevelType w:val="multilevel"/>
    <w:tmpl w:val="AD924C18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  <w:tab w:val="left" w:pos="1620"/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3A1F22"/>
    <w:multiLevelType w:val="multilevel"/>
    <w:tmpl w:val="019C087A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93"/>
      <w:numFmt w:val="bullet"/>
      <w:lvlText w:val="-"/>
      <w:lvlJc w:val="left"/>
      <w:pPr>
        <w:ind w:left="2160" w:hanging="360"/>
      </w:pPr>
      <w:rPr>
        <w:rFonts w:ascii="Arial" w:eastAsia="Times New Roman" w:hAnsi="Arial" w:cs="Arial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845AD1"/>
    <w:multiLevelType w:val="multilevel"/>
    <w:tmpl w:val="94BA1046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  <w:tab w:val="left" w:pos="1620"/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3A3073"/>
    <w:multiLevelType w:val="multilevel"/>
    <w:tmpl w:val="EE4C70E8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  <w:tab w:val="left" w:pos="1620"/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0D2FFA"/>
    <w:multiLevelType w:val="multilevel"/>
    <w:tmpl w:val="8A1277E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F52557"/>
    <w:multiLevelType w:val="multilevel"/>
    <w:tmpl w:val="4EA0E1B0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  <w:tab w:val="left" w:pos="1620"/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771FB7"/>
    <w:multiLevelType w:val="multilevel"/>
    <w:tmpl w:val="EE98E4FA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  <w:tab w:val="left" w:pos="1620"/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556830"/>
    <w:multiLevelType w:val="multilevel"/>
    <w:tmpl w:val="A06CE930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  <w:tab w:val="left" w:pos="1620"/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9F526C"/>
    <w:multiLevelType w:val="multilevel"/>
    <w:tmpl w:val="794CEF1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4C9C5061"/>
    <w:multiLevelType w:val="multilevel"/>
    <w:tmpl w:val="E29AE324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  <w:tab w:val="left" w:pos="1620"/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2C448D"/>
    <w:multiLevelType w:val="multilevel"/>
    <w:tmpl w:val="3F3E813C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  <w:tab w:val="left" w:pos="1620"/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375308"/>
    <w:multiLevelType w:val="multilevel"/>
    <w:tmpl w:val="511AC510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  <w:tab w:val="left" w:pos="1620"/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E915F8"/>
    <w:multiLevelType w:val="multilevel"/>
    <w:tmpl w:val="DB2A988C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  <w:tab w:val="left" w:pos="1620"/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0E5538"/>
    <w:multiLevelType w:val="multilevel"/>
    <w:tmpl w:val="FABEED68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  <w:tab w:val="left" w:pos="1620"/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4566B8"/>
    <w:multiLevelType w:val="multilevel"/>
    <w:tmpl w:val="D9F8B33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3E04F9"/>
    <w:multiLevelType w:val="multilevel"/>
    <w:tmpl w:val="FBFE0604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  <w:tab w:val="left" w:pos="1620"/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F528F6"/>
    <w:multiLevelType w:val="multilevel"/>
    <w:tmpl w:val="266C6AB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0" w15:restartNumberingAfterBreak="0">
    <w:nsid w:val="76574188"/>
    <w:multiLevelType w:val="multilevel"/>
    <w:tmpl w:val="A50A1DAE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  <w:tab w:val="left" w:pos="1620"/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9"/>
  </w:num>
  <w:num w:numId="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3"/>
  </w:num>
  <w:num w:numId="10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7"/>
  </w:num>
  <w:num w:numId="12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5"/>
  </w:num>
  <w:num w:numId="14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5"/>
  </w:num>
  <w:num w:numId="16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2"/>
  </w:num>
  <w:num w:numId="18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9"/>
  </w:num>
  <w:num w:numId="20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"/>
  </w:num>
  <w:num w:numId="2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18"/>
  </w:num>
  <w:num w:numId="24">
    <w:abstractNumId w:val="1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3"/>
  </w:num>
  <w:num w:numId="26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4"/>
  </w:num>
  <w:num w:numId="28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8"/>
  </w:num>
  <w:num w:numId="30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16"/>
  </w:num>
  <w:num w:numId="32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10"/>
  </w:num>
  <w:num w:numId="34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14"/>
  </w:num>
  <w:num w:numId="36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>
    <w:abstractNumId w:val="6"/>
  </w:num>
  <w:num w:numId="38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>
    <w:abstractNumId w:val="20"/>
  </w:num>
  <w:num w:numId="40">
    <w:abstractNumId w:val="2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1">
    <w:abstractNumId w:val="0"/>
  </w:num>
  <w:num w:numId="4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E11"/>
    <w:rsid w:val="0032134E"/>
    <w:rsid w:val="0059364F"/>
    <w:rsid w:val="00A94EB4"/>
    <w:rsid w:val="00E30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E117D"/>
  <w15:chartTrackingRefBased/>
  <w15:docId w15:val="{3C4A67AC-CAE5-4538-8E67-55D78E296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numbering" w:customStyle="1" w:styleId="Bezzoznamu1">
    <w:name w:val="Bez zoznamu1"/>
    <w:next w:val="Bezzoznamu"/>
    <w:uiPriority w:val="99"/>
    <w:semiHidden/>
    <w:unhideWhenUsed/>
    <w:rsid w:val="00E30E11"/>
  </w:style>
  <w:style w:type="paragraph" w:customStyle="1" w:styleId="Normal">
    <w:name w:val="Normal"/>
    <w:rsid w:val="00E30E11"/>
    <w:pPr>
      <w:spacing w:before="100" w:beforeAutospacing="1" w:after="100" w:afterAutospacing="1" w:line="256" w:lineRule="auto"/>
    </w:pPr>
    <w:rPr>
      <w:rFonts w:ascii="Calibri" w:eastAsia="Times New Roman" w:hAnsi="Calibri" w:cs="Times New Roman"/>
      <w:sz w:val="24"/>
      <w:szCs w:val="24"/>
      <w:lang w:eastAsia="sk-SK"/>
    </w:rPr>
  </w:style>
  <w:style w:type="paragraph" w:customStyle="1" w:styleId="msonormal0">
    <w:name w:val="msonormal"/>
    <w:basedOn w:val="Normlny"/>
    <w:rsid w:val="00E30E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Footer">
    <w:name w:val="Footer"/>
    <w:basedOn w:val="Normlny"/>
    <w:semiHidden/>
    <w:rsid w:val="00E30E11"/>
    <w:pPr>
      <w:tabs>
        <w:tab w:val="center" w:pos="3390"/>
        <w:tab w:val="right" w:pos="6795"/>
        <w:tab w:val="right" w:pos="31680"/>
      </w:tabs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sk-SK"/>
    </w:rPr>
  </w:style>
  <w:style w:type="paragraph" w:customStyle="1" w:styleId="ListParagraph">
    <w:name w:val="List Paragraph"/>
    <w:basedOn w:val="Normlny"/>
    <w:rsid w:val="00E30E11"/>
    <w:pPr>
      <w:spacing w:before="100" w:beforeAutospacing="1" w:after="100" w:afterAutospacing="1" w:line="256" w:lineRule="auto"/>
      <w:contextualSpacing/>
    </w:pPr>
    <w:rPr>
      <w:rFonts w:ascii="Calibri" w:eastAsia="Times New Roman" w:hAnsi="Calibri" w:cs="Times New Roman"/>
      <w:sz w:val="24"/>
      <w:szCs w:val="24"/>
      <w:lang w:eastAsia="sk-SK"/>
    </w:rPr>
  </w:style>
  <w:style w:type="table" w:customStyle="1" w:styleId="TableNormal">
    <w:name w:val="Table Normal"/>
    <w:semiHidden/>
    <w:rsid w:val="00E30E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textovprepojenie">
    <w:name w:val="Hyperlink"/>
    <w:basedOn w:val="Predvolenpsmoodseku"/>
    <w:uiPriority w:val="99"/>
    <w:unhideWhenUsed/>
    <w:rsid w:val="00E30E11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unhideWhenUsed/>
    <w:rsid w:val="00E30E11"/>
    <w:rPr>
      <w:color w:val="800080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E30E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30E11"/>
  </w:style>
  <w:style w:type="paragraph" w:styleId="Pta">
    <w:name w:val="footer"/>
    <w:basedOn w:val="Normlny"/>
    <w:link w:val="PtaChar"/>
    <w:uiPriority w:val="99"/>
    <w:unhideWhenUsed/>
    <w:rsid w:val="00E30E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30E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339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vssr.sk/main/goto.ashx?t=27&amp;p=3120614&amp;f=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18</Pages>
  <Words>3362</Words>
  <Characters>19164</Characters>
  <Application>Microsoft Office Word</Application>
  <DocSecurity>0</DocSecurity>
  <Lines>159</Lines>
  <Paragraphs>44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KULICHOVÁ Alena</dc:creator>
  <cp:keywords/>
  <dc:description/>
  <cp:lastModifiedBy>KULICHOVÁ Alena</cp:lastModifiedBy>
  <cp:revision>1</cp:revision>
  <dcterms:created xsi:type="dcterms:W3CDTF">2026-02-25T13:30:00Z</dcterms:created>
  <dcterms:modified xsi:type="dcterms:W3CDTF">2026-02-25T13:42:00Z</dcterms:modified>
</cp:coreProperties>
</file>