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221C" w:rsidRDefault="0001633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sk-SK"/>
        </w:rPr>
        <w:drawing>
          <wp:inline distT="0" distB="0" distL="0" distR="0">
            <wp:extent cx="762000" cy="933450"/>
            <wp:effectExtent l="0" t="0" r="0" b="0"/>
            <wp:docPr id="2" name="Obrázok 2" descr="C:\Users\aku74508\AppData\Local\Temp\ksohtml18596\wp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C:\Users\aku74508\AppData\Local\Temp\ksohtml18596\wps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center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shd w:val="clear" w:color="auto" w:fill="DDDDDD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ZÁVEREČNÝ ÚČET OBCE PODKRIVÁŇ</w:t>
      </w:r>
      <w:r>
        <w:rPr>
          <w:rFonts w:ascii="Arial" w:eastAsia="Times New Roman" w:hAnsi="Arial" w:cs="Arial"/>
          <w:b/>
          <w:bCs/>
          <w:color w:val="196D03"/>
          <w:sz w:val="24"/>
          <w:szCs w:val="24"/>
          <w:shd w:val="clear" w:color="auto" w:fill="DDDDDD"/>
          <w:lang w:eastAsia="sk-SK"/>
        </w:rPr>
        <w:t xml:space="preserve"> - návrh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center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ZA ROK </w:t>
      </w:r>
      <w:r>
        <w:rPr>
          <w:rFonts w:ascii="Arial" w:eastAsia="Times New Roman" w:hAnsi="Arial" w:cs="Arial"/>
          <w:b/>
          <w:bCs/>
          <w:color w:val="196D03"/>
          <w:sz w:val="24"/>
          <w:szCs w:val="24"/>
          <w:shd w:val="clear" w:color="auto" w:fill="DDDDDD"/>
          <w:lang w:eastAsia="sk-SK"/>
        </w:rPr>
        <w:t>2025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Záverečný účet obce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Podkriváň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za rok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2025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je spracovaný v súlade so zákonom č. </w:t>
      </w:r>
      <w:hyperlink r:id="rId8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583/2004 Z. z.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o rozpočtových pravidlách územnej samosprávy a o zmene a doplnení niektorých zákonov v znení neskorších predpisov.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A. Rozpočtové hospodárenie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Obec Podkriváň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 xml:space="preserve">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(ďalej len „samospráva“) hospodárila v roku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2025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s rozpočtovými prostriedkami podľa schváleného a následne upraveného rozpočtu. Rozpočet na rok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2025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bol schválený dňa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____11.12.2024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uznesením zastupiteľstva č.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__12___/2024______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Samospráva zostavila rozpočet podľa </w:t>
      </w:r>
      <w:hyperlink r:id="rId9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§ 10 ods. 3 zákona č. 583/2004 Z. z.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o rozpočtových pravidlách územnej samosprávy a o zmene a doplnení niektorých zákonov v znení neskorších predpisov (ďalej len „</w:t>
      </w:r>
      <w:hyperlink r:id="rId10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zákon o rozpočtových pravidlách územnej samosprávy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“). Rozpočet bol zostavený a schválený ako prebytkový. Bežný rozpočet bol zostavený a schválený ako prebytkový, kapitálový rozpočet sa v roku 202</w:t>
      </w:r>
      <w:r>
        <w:rPr>
          <w:rFonts w:ascii="Arial" w:eastAsia="Times New Roman" w:hAnsi="Arial" w:cs="Arial"/>
          <w:color w:val="282828"/>
          <w:sz w:val="24"/>
          <w:szCs w:val="24"/>
          <w:lang w:val="en-US" w:eastAsia="sk-SK"/>
        </w:rPr>
        <w:t xml:space="preserve">5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nerozpočtoval.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Zmeny rozpočtu boli počas rozpočtového roka vykonávané zastupiteľstvom v súlade so správnou úpravou a aj štatutárnym orgánom v zmysle </w:t>
      </w:r>
      <w:proofErr w:type="spellStart"/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uznesen</w:t>
      </w:r>
      <w:proofErr w:type="spellEnd"/>
      <w:r>
        <w:rPr>
          <w:rFonts w:ascii="Arial" w:eastAsia="Times New Roman" w:hAnsi="Arial" w:cs="Arial"/>
          <w:color w:val="282828"/>
          <w:sz w:val="24"/>
          <w:szCs w:val="24"/>
          <w:lang w:val="en-US" w:eastAsia="sk-SK"/>
        </w:rPr>
        <w:t xml:space="preserve">í </w:t>
      </w:r>
      <w:proofErr w:type="spellStart"/>
      <w:r>
        <w:rPr>
          <w:rFonts w:ascii="Arial" w:eastAsia="Times New Roman" w:hAnsi="Arial" w:cs="Arial"/>
          <w:color w:val="282828"/>
          <w:sz w:val="24"/>
          <w:szCs w:val="24"/>
          <w:lang w:val="en-US" w:eastAsia="sk-SK"/>
        </w:rPr>
        <w:t>obecného</w:t>
      </w:r>
      <w:proofErr w:type="spellEnd"/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zastupiteľstva č.</w:t>
      </w:r>
      <w:r>
        <w:rPr>
          <w:rFonts w:ascii="Arial" w:eastAsia="Times New Roman" w:hAnsi="Arial" w:cs="Arial"/>
          <w:color w:val="282828"/>
          <w:sz w:val="24"/>
          <w:szCs w:val="24"/>
          <w:lang w:val="en-US" w:eastAsia="sk-SK"/>
        </w:rPr>
        <w:t xml:space="preserve">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val="en-US" w:eastAsia="sk-SK"/>
        </w:rPr>
        <w:t>13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zo</w:t>
      </w:r>
      <w:r>
        <w:rPr>
          <w:rFonts w:ascii="Arial" w:eastAsia="Times New Roman" w:hAnsi="Arial" w:cs="Arial"/>
          <w:color w:val="282828"/>
          <w:sz w:val="24"/>
          <w:szCs w:val="24"/>
          <w:lang w:val="en-US" w:eastAsia="sk-SK"/>
        </w:rPr>
        <w:t xml:space="preserve">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dňa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val="en-US" w:eastAsia="sk-SK"/>
        </w:rPr>
        <w:t xml:space="preserve">01.04.2025, č. 14 zo </w:t>
      </w:r>
      <w:proofErr w:type="spellStart"/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val="en-US" w:eastAsia="sk-SK"/>
        </w:rPr>
        <w:t>dňa</w:t>
      </w:r>
      <w:proofErr w:type="spellEnd"/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val="en-US" w:eastAsia="sk-SK"/>
        </w:rPr>
        <w:t xml:space="preserve"> 19.06.2025, č. 16 zo </w:t>
      </w:r>
      <w:proofErr w:type="spellStart"/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val="en-US" w:eastAsia="sk-SK"/>
        </w:rPr>
        <w:t>dňa</w:t>
      </w:r>
      <w:proofErr w:type="spellEnd"/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val="en-US" w:eastAsia="sk-SK"/>
        </w:rPr>
        <w:t xml:space="preserve"> 19.08.2025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Zmeny rozpočtu boli počas rozpočtového roka vykonávané rozpočtovými opatreniami podľa </w:t>
      </w:r>
      <w:hyperlink r:id="rId11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§ 14 ods. 2 zákona o rozpočtových pravidlách územnej samosprávy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. Všetky rozpočtové opatrenia sú zaznamenané v operatívnej evidencii rozpočtových opatrení. Celkovo bolo vydaných: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___1__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rozpočtové opatrenie.</w:t>
      </w: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Hospodárenie samosprávy dokumentuje nasledovná tabuľka: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5"/>
        <w:gridCol w:w="1696"/>
        <w:gridCol w:w="2020"/>
        <w:gridCol w:w="2035"/>
      </w:tblGrid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Rozpočet po zmenách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Čerpanie rozpočtu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Bežný rozpočet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Príjmy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288 030,00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288 030,00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283 990,92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Výdavky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281 340,00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281 340,00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319 232,33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Prebytok/schodok bežného rozpočtu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+6 690,00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+ 6 690,00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-35 241,41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Kapitálový rozpočet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Príjmy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54 995,50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55 075,50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Výdavky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102 100,19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102 100,19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Prebytok/schodok kapitálového rozpočtu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-47 104,69 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-47 024,69 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96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Prebytok/schodok rozpočtu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96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96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-40 414,69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96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-82 266,10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Finančné operácie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Príjmové finančné operácie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114 949,00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122 949,00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Výdavkové finančné operácie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6 000,00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6 000,00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4 000,00</w:t>
            </w:r>
          </w:p>
        </w:tc>
      </w:tr>
      <w:tr w:rsidR="00D5221C">
        <w:trPr>
          <w:tblCellSpacing w:w="15" w:type="dxa"/>
        </w:trPr>
        <w:tc>
          <w:tcPr>
            <w:tcW w:w="3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CECE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Rozdiel vo finančných operáciách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CECE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-6 000,00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CECE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+108 949,00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CECE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contextualSpacing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+118 949,00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center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I. PLNENIE PRÍJMOV ROZPOČTU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Vlastné príjmy bežného rozpočtu predstavovali daňové príjmy a nedaňové príjmy, kapitálový príjem predstavovala dotácia na rekonštrukciu sály KD a predaj pozemku.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Cudzie príjmy bežného rozpočtu boli tvorené dotáciami na činnosť preneseného výkonu štátnej správy, kapitálové príjmy boli tvorené dotáciami, ktoré samospráva získala cez projekty ŠR a Európskej únie.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Samospráva hospodárila v oblasti príjmov nasledovne: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€: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5"/>
        <w:gridCol w:w="2247"/>
        <w:gridCol w:w="2258"/>
        <w:gridCol w:w="2286"/>
      </w:tblGrid>
      <w:tr w:rsidR="00D5221C">
        <w:trPr>
          <w:tblCellSpacing w:w="15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</w:tr>
      <w:tr w:rsidR="00D5221C">
        <w:trPr>
          <w:tblCellSpacing w:w="15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Bežné príjmy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288 030,00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288 030,00 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283 990,92</w:t>
            </w:r>
          </w:p>
        </w:tc>
      </w:tr>
      <w:tr w:rsidR="00D5221C">
        <w:trPr>
          <w:tblCellSpacing w:w="15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Kapitálové príjmy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54 995,50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55 075,50</w:t>
            </w:r>
          </w:p>
        </w:tc>
      </w:tr>
    </w:tbl>
    <w:p w:rsidR="00D5221C" w:rsidRDefault="00D5221C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1. BEŽNÉ PRÍJMY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Bežné príjmy zahŕňajú vlastné príjmy (daňové a nedaňové) a cudzie príjmy; ich plnenie bolo nasledovné: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3"/>
        <w:gridCol w:w="2149"/>
        <w:gridCol w:w="2134"/>
        <w:gridCol w:w="2170"/>
      </w:tblGrid>
      <w:tr w:rsidR="00D5221C">
        <w:trPr>
          <w:tblCellSpacing w:w="15" w:type="dxa"/>
        </w:trPr>
        <w:tc>
          <w:tcPr>
            <w:tcW w:w="2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  <w:p w:rsidR="00D5221C" w:rsidRDefault="00D5221C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  <w:p w:rsidR="00D5221C" w:rsidRDefault="00D5221C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  <w:p w:rsidR="00D5221C" w:rsidRDefault="00D5221C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</w:tr>
      <w:tr w:rsidR="00D5221C">
        <w:trPr>
          <w:tblCellSpacing w:w="15" w:type="dxa"/>
        </w:trPr>
        <w:tc>
          <w:tcPr>
            <w:tcW w:w="2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Daňové príjmy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256 080,00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256 080,00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259 462,64</w:t>
            </w:r>
          </w:p>
        </w:tc>
      </w:tr>
      <w:tr w:rsidR="00D5221C">
        <w:trPr>
          <w:tblCellSpacing w:w="15" w:type="dxa"/>
        </w:trPr>
        <w:tc>
          <w:tcPr>
            <w:tcW w:w="2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Nedaňové príjmy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28 310,00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28 310,00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18 839,65</w:t>
            </w:r>
          </w:p>
        </w:tc>
      </w:tr>
      <w:tr w:rsidR="00D5221C">
        <w:trPr>
          <w:tblCellSpacing w:w="15" w:type="dxa"/>
        </w:trPr>
        <w:tc>
          <w:tcPr>
            <w:tcW w:w="2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Granty a transfery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3 640,00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3 640,00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5 688,63</w:t>
            </w:r>
          </w:p>
        </w:tc>
      </w:tr>
      <w:tr w:rsidR="00D5221C">
        <w:trPr>
          <w:tblCellSpacing w:w="15" w:type="dxa"/>
        </w:trPr>
        <w:tc>
          <w:tcPr>
            <w:tcW w:w="2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 xml:space="preserve">Bežné príjmy spolu: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288 030,00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288 030,00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283 990,92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4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1.1. Daňové príjmy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6"/>
        <w:gridCol w:w="2141"/>
        <w:gridCol w:w="2141"/>
        <w:gridCol w:w="2168"/>
      </w:tblGrid>
      <w:tr w:rsidR="00D5221C">
        <w:trPr>
          <w:tblCellSpacing w:w="15" w:type="dxa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</w:tr>
      <w:tr w:rsidR="00D5221C">
        <w:trPr>
          <w:tblCellSpacing w:w="15" w:type="dxa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Daň z príjmov a kapitálového majetku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190 000,00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190 000,00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176 463,69</w:t>
            </w:r>
          </w:p>
        </w:tc>
      </w:tr>
      <w:tr w:rsidR="00D5221C">
        <w:trPr>
          <w:tblCellSpacing w:w="15" w:type="dxa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Daň z majetku (pozemky, stavby, byty)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47 060,00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47 060,00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57 409,80</w:t>
            </w:r>
          </w:p>
        </w:tc>
      </w:tr>
      <w:tr w:rsidR="00D5221C">
        <w:trPr>
          <w:tblCellSpacing w:w="15" w:type="dxa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Dane za tovary a služby (TKO, užívanie VP, PES)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19 020,00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19 020,00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25 589,15</w:t>
            </w:r>
          </w:p>
        </w:tc>
      </w:tr>
      <w:tr w:rsidR="00D5221C">
        <w:trPr>
          <w:tblCellSpacing w:w="15" w:type="dxa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 xml:space="preserve">Daňové príjmy spolu: 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256 080,00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256 080,00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259 462,64</w:t>
            </w:r>
          </w:p>
        </w:tc>
      </w:tr>
    </w:tbl>
    <w:p w:rsidR="00D5221C" w:rsidRDefault="00016330">
      <w:pPr>
        <w:numPr>
          <w:ilvl w:val="0"/>
          <w:numId w:val="1"/>
        </w:num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i/>
          <w:iCs/>
          <w:color w:val="282828"/>
          <w:sz w:val="24"/>
          <w:szCs w:val="24"/>
          <w:lang w:eastAsia="sk-SK"/>
        </w:rPr>
        <w:t>Daň z príjmov a kapitálového majetku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Najpodstatnejšou časťou bežných príjmov obce je daň z príjmov fyzických osôb, tzv. podielová daň zo ŠR, ktorá predstavuje </w:t>
      </w:r>
      <w:r>
        <w:rPr>
          <w:rFonts w:ascii="Arial" w:eastAsia="Times New Roman" w:hAnsi="Arial" w:cs="Arial"/>
          <w:color w:val="FF0000"/>
          <w:sz w:val="24"/>
          <w:szCs w:val="24"/>
          <w:lang w:eastAsia="sk-SK"/>
        </w:rPr>
        <w:t xml:space="preserve">    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62,14        % z celkových skutočných bežných príjmov.</w:t>
      </w: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016330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i/>
          <w:iCs/>
          <w:color w:val="282828"/>
          <w:sz w:val="24"/>
          <w:szCs w:val="24"/>
          <w:lang w:eastAsia="sk-SK"/>
        </w:rPr>
        <w:t>Daň z majetku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5"/>
        <w:gridCol w:w="2146"/>
        <w:gridCol w:w="2142"/>
        <w:gridCol w:w="2173"/>
      </w:tblGrid>
      <w:tr w:rsidR="00D5221C">
        <w:trPr>
          <w:tblCellSpacing w:w="15" w:type="dxa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Daň z majetku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</w:tr>
      <w:tr w:rsidR="00D5221C">
        <w:trPr>
          <w:tblCellSpacing w:w="15" w:type="dxa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Z pozemkov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37 000,00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37 000,00 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40 658,64</w:t>
            </w:r>
          </w:p>
        </w:tc>
      </w:tr>
      <w:tr w:rsidR="00D5221C">
        <w:trPr>
          <w:tblCellSpacing w:w="15" w:type="dxa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Zo stavieb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  10 000,00 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10 000,00 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16 647,87</w:t>
            </w:r>
          </w:p>
        </w:tc>
      </w:tr>
      <w:tr w:rsidR="00D5221C">
        <w:trPr>
          <w:tblCellSpacing w:w="15" w:type="dxa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Z bytov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60,00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60,00 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103,29</w:t>
            </w:r>
          </w:p>
        </w:tc>
      </w:tr>
      <w:tr w:rsidR="00D5221C">
        <w:trPr>
          <w:tblCellSpacing w:w="15" w:type="dxa"/>
        </w:trPr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 xml:space="preserve">Daň z majetku spolu: 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47 060,00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47 060,00</w:t>
            </w:r>
          </w:p>
        </w:tc>
        <w:tc>
          <w:tcPr>
            <w:tcW w:w="2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57 409,80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V roku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___2025_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bolo zdanených celkom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_____1804__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objektov s počtom daňových poplatníkov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___597___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, čo je mierny nárast oproti predošlému roku.</w:t>
      </w:r>
    </w:p>
    <w:p w:rsidR="00D5221C" w:rsidRDefault="00016330">
      <w:pPr>
        <w:numPr>
          <w:ilvl w:val="0"/>
          <w:numId w:val="3"/>
        </w:num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i/>
          <w:iCs/>
          <w:color w:val="282828"/>
          <w:sz w:val="24"/>
          <w:szCs w:val="24"/>
          <w:lang w:eastAsia="sk-SK"/>
        </w:rPr>
        <w:t>Dane za tovary a služby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8"/>
        <w:gridCol w:w="2135"/>
        <w:gridCol w:w="2131"/>
        <w:gridCol w:w="2172"/>
      </w:tblGrid>
      <w:tr w:rsidR="00D5221C">
        <w:trPr>
          <w:tblCellSpacing w:w="15" w:type="dxa"/>
        </w:trPr>
        <w:tc>
          <w:tcPr>
            <w:tcW w:w="2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Dane za tovary a služby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</w:tr>
      <w:tr w:rsidR="00D5221C">
        <w:trPr>
          <w:tblCellSpacing w:w="15" w:type="dxa"/>
        </w:trPr>
        <w:tc>
          <w:tcPr>
            <w:tcW w:w="2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Za psa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1 500,00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1 500,00 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960,90</w:t>
            </w:r>
          </w:p>
        </w:tc>
      </w:tr>
      <w:tr w:rsidR="00D5221C">
        <w:trPr>
          <w:tblCellSpacing w:w="15" w:type="dxa"/>
        </w:trPr>
        <w:tc>
          <w:tcPr>
            <w:tcW w:w="2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Za užívanie verejného priestranstva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20,00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20,00 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18,00</w:t>
            </w:r>
          </w:p>
        </w:tc>
      </w:tr>
      <w:tr w:rsidR="00D5221C">
        <w:trPr>
          <w:tblCellSpacing w:w="15" w:type="dxa"/>
        </w:trPr>
        <w:tc>
          <w:tcPr>
            <w:tcW w:w="2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Za komunálny odpad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17 500,00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17 500,00 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24 610,25 </w:t>
            </w:r>
          </w:p>
        </w:tc>
      </w:tr>
      <w:tr w:rsidR="00D5221C">
        <w:trPr>
          <w:tblCellSpacing w:w="15" w:type="dxa"/>
        </w:trPr>
        <w:tc>
          <w:tcPr>
            <w:tcW w:w="2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 xml:space="preserve">Spolu: 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19 020,00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19 020,00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25 589,15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Daň za psa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V roku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____2025_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bolo prihlásených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____144__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daňovníkov s počtom spoplatnených psov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_182_ 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Daň za verejné priestranstvo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V roku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____2025_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bolo evidovaných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__9__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daňovníkov.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 xml:space="preserve"> </w:t>
      </w: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</w:pP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Poplatok za komunálny odpad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Počet evidovaných poplatníkov v roku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__2025__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bol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__430__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4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1.2. Nedaňové príjmy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Zahŕňajú príjmy z podnikania a vlastníctva majetku a príjmy z administratívnych a iných poplatkov; ich plnenie bolo v roku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__2025___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nasledovné: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48"/>
        <w:gridCol w:w="2025"/>
        <w:gridCol w:w="2163"/>
        <w:gridCol w:w="1920"/>
      </w:tblGrid>
      <w:tr w:rsidR="00D5221C">
        <w:trPr>
          <w:tblCellSpacing w:w="15" w:type="dxa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outlineLvl w:val="4"/>
              <w:rPr>
                <w:rFonts w:ascii="Arial" w:eastAsia="Times New Roman" w:hAnsi="Arial" w:cs="Arial"/>
                <w:b/>
                <w:color w:val="196D03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196D03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</w:tr>
      <w:tr w:rsidR="00D5221C">
        <w:trPr>
          <w:tblCellSpacing w:w="15" w:type="dxa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Z podnikania a vlastníctva majetku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1 100,00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1 100,00 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1 192,26 </w:t>
            </w:r>
          </w:p>
        </w:tc>
      </w:tr>
      <w:tr w:rsidR="00D5221C">
        <w:trPr>
          <w:tblCellSpacing w:w="15" w:type="dxa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Administratívne a iné poplatky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25 200,00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25 200,00 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11 117,88 </w:t>
            </w:r>
          </w:p>
        </w:tc>
      </w:tr>
      <w:tr w:rsidR="00D5221C">
        <w:trPr>
          <w:tblCellSpacing w:w="15" w:type="dxa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Úroky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10,00 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112,66 </w:t>
            </w:r>
          </w:p>
        </w:tc>
      </w:tr>
      <w:tr w:rsidR="00D5221C">
        <w:trPr>
          <w:tblCellSpacing w:w="15" w:type="dxa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Iné nedaňové príjmy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2 000,00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2 000,00 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6 416,85</w:t>
            </w:r>
          </w:p>
        </w:tc>
      </w:tr>
      <w:tr w:rsidR="00D5221C">
        <w:trPr>
          <w:tblCellSpacing w:w="15" w:type="dxa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 xml:space="preserve">Spolu: 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28 310,00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28 310,00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18 839,65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 xml:space="preserve">Príjmy z podnikania a vlastníctva majetku –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tvoria príjmy z podnikania a príjmy z prenájmu pozemkov, budov, bytov, nebytových priestorov, z prenajatých strojov, prístrojov, zariadení, techniky a náradia.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Príjmy z prenajatých pozemkov – 22,63 €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Príjem z prenajatých budov, priestorov a objektov – 1 169,63 €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 xml:space="preserve">Administratívne a iné poplatky –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ide najmä o príjmy zo správnych poplatkov, ktoré predstavujú príjmy vyberané obcou v zmysle platných právnych predpisov. Patria sem správne poplatky vyberané za overovanie listín, za vydanie rybárskych lístkov, , za zmenu licencie, správne poplatky matriky, za uloženie odpadu na území obce a pod. Ďalej sú to správne poplatky za prevádzku výherných hracích prístrojov, ktoré prevádzkuje právnická osoba, ktorá tieto prístroje umiestnila a prevádzkuje ich v zmysle zákona č. </w:t>
      </w:r>
      <w:hyperlink r:id="rId12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171/2005 Z. z.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o hazardných hrách.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Celkove boli tieto príjmy dosiahnuté vo výške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__362,50 €__________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 xml:space="preserve"> </w:t>
      </w:r>
    </w:p>
    <w:p w:rsidR="00016330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</w:pPr>
    </w:p>
    <w:p w:rsidR="00016330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</w:pP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lastRenderedPageBreak/>
        <w:t>Úroky z domácich úverov, pôžičiek a vkladov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>Tento poplatok tvorí príjem z vkladov na účtoch v bankách, v roku 2025 bol príjem vo výške 112,66 €.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 xml:space="preserve"> Iné nedaňové príjmy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 xml:space="preserve">Príjem je zložený z poplatkov ako sú náhrady poistného plnenia, </w:t>
      </w:r>
      <w:proofErr w:type="spellStart"/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>vratky</w:t>
      </w:r>
      <w:proofErr w:type="spellEnd"/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>, dobropisy, refundácie a iné, výška príjmu – 6 416,85 €.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4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1.3. Granty a transfery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Ide o granty a transfery účelovo viazané, ktoré boli samospráve poukázané vo výške podľa prehľadu v nasledovnej tabuľke: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5"/>
        <w:gridCol w:w="1470"/>
        <w:gridCol w:w="3840"/>
      </w:tblGrid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Poskytovateľ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Suma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Účel použitia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ŠR, Ministerstvo vnútra SR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2 892,25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Matričná činnosť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ŠR, Ministerstvo vnútra SR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180,18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Register obyvateľstva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 ŠR, Úrad pre územné plánovanie a výstavbu SR 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894,93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Činnosť stavebného úradu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ŠR, Ministerstvo dopravy SR 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23,59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Cestná doprava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ŠR, Ministerstvo vnútra SR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71,36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Životné prostredie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ŠR, Ministerstvo vnútra SR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168,84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Co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 sklad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ŠR, Ministerstvo vnútra SR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24,40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Register adries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ŠR, Ministerstvo vnútra SR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1 433,08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EF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 xml:space="preserve">Nedaňové príjmy spolu: 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5 688,63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D5221C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2. KAPITÁLOVÉ PRÍJMY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5"/>
        <w:gridCol w:w="2505"/>
        <w:gridCol w:w="2445"/>
        <w:gridCol w:w="1620"/>
      </w:tblGrid>
      <w:tr w:rsidR="00D5221C">
        <w:trPr>
          <w:tblCellSpacing w:w="15" w:type="dxa"/>
        </w:trPr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</w:tr>
      <w:tr w:rsidR="00D5221C">
        <w:trPr>
          <w:tblCellSpacing w:w="15" w:type="dxa"/>
        </w:trPr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Tuzemské kapitálové granty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54 995,50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55 075,50 </w:t>
            </w:r>
          </w:p>
        </w:tc>
      </w:tr>
    </w:tbl>
    <w:p w:rsidR="00D5221C" w:rsidRDefault="00D5221C">
      <w:pPr>
        <w:shd w:val="clear" w:color="auto" w:fill="F8F8F8"/>
        <w:spacing w:before="100" w:beforeAutospacing="1" w:after="100" w:afterAutospacing="1" w:line="254" w:lineRule="auto"/>
        <w:outlineLvl w:val="4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4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2.1. Tuzemské kapitálové granty a transfery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 xml:space="preserve">Obec v roku 2025 dostala kapitálový transfer na rekonštrukciu sály kultúrneho domu vo výške 54 995,50 €, ďalší príjem bol vo výške 80,00 € z predaja pozemku.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center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center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lastRenderedPageBreak/>
        <w:t>II. ČERPANIE VÝDAVKOV ROZPOČTU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Samospráva čerpala výdavky nasledovne: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8"/>
        <w:gridCol w:w="2116"/>
        <w:gridCol w:w="2082"/>
        <w:gridCol w:w="1528"/>
        <w:gridCol w:w="1252"/>
      </w:tblGrid>
      <w:tr w:rsidR="00D5221C">
        <w:trPr>
          <w:tblCellSpacing w:w="15" w:type="dxa"/>
        </w:trPr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8C8C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8C8C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8C8C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8C8C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8C8C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%</w:t>
            </w:r>
          </w:p>
        </w:tc>
      </w:tr>
      <w:tr w:rsidR="00D5221C">
        <w:trPr>
          <w:tblCellSpacing w:w="15" w:type="dxa"/>
        </w:trPr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Bežné výdavky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281 340,00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281 340,00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319 232,33 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113,63 </w:t>
            </w:r>
          </w:p>
        </w:tc>
      </w:tr>
      <w:tr w:rsidR="00D5221C">
        <w:trPr>
          <w:tblCellSpacing w:w="15" w:type="dxa"/>
        </w:trPr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Kapitálové výdavky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102 100,19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102 100,19 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100,00 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 xml:space="preserve">Bežné výdavky boli v roku 2025 použité na financovanie bežného chodu obce. Obec sa snažila  zabezpečovať dostatočnú údržbu na verejnom osvetlení, bežnú a zimnú údržbu ciest, údržbu miestneho rozhlasu, ako aj veľmi náročnú údržbu zelene a všetkých budov, nakoľko náš kataster je rozľahlý. Veľká časť rozpočtu sa sústreďuje na vývoz a triedenie komunálneho odpadu, energie, obnova verejného osvetlenia, pohonné hmoty, údržba áut, poistenie, poistenie budov, audítorské služby, poplatky v bankách, údržba vodovodu, financovanie kultúrno-spoločenských aktivít, športových aktivít, revízie zariadení, špeciálne služby (geodetické - projektové práce), nákup materiálových výdavkov, kancelárskych výdavkov, aktualizácie program. softvérov, členstvo v organizáciách a združeniach, stravovanie zamestnancov, poštové a telekomunikačné služby, mzdové a odvodové náklady, doplatky na sociálnu činnosť v domove seniorov, činnosť prenesených výkonov, zabezpečenie volieb.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1. BEŽNÉ VÝDAVKY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Bežné výdavky boli podľa ekonomickej rozpočtovej klasifikácie čerpané nasledovne: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5"/>
        <w:gridCol w:w="1591"/>
        <w:gridCol w:w="1502"/>
        <w:gridCol w:w="1432"/>
        <w:gridCol w:w="946"/>
      </w:tblGrid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% plnenia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Mzdy, platy, OON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123 660,00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123 660,00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130 262,26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105,34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Poistné a príspevky do poisťovní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43 609,00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43 609,00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47 676,05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109,33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Tovary a služby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103 851,00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103 851,00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127 906,31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123,16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Bežné transfery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9 120,00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9 120,00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9 347,56 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102,50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Splácanie úrokov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1 100,00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1 100,00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4 040,15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367,29</w:t>
            </w:r>
          </w:p>
        </w:tc>
      </w:tr>
      <w:tr w:rsidR="00D5221C">
        <w:trPr>
          <w:tblCellSpacing w:w="15" w:type="dxa"/>
        </w:trPr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 xml:space="preserve">Bežné výdavky spolu: 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281 340,00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281 340,00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319 232,33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113,47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>Rozpočtované prostriedky slúžili na úhradu miezd, odvodov do poisťovní a fondov. Na bežný chod a činnosť sa výdavky použili na úhradu: poštovného a telekomunikačných služieb, internetu, nákup kancelárskych potrieb, PHM, reprezentačné – občerstvenie, poistenie, bežná údržba strojov, zariadení, poplatky a odvody ako ZMOS, R-ZMO, OZ Podpoľanie a pod., stravovanie, všeobecné služby – opravy, poplatky energií, údržba objektov – ciest, budov, nájom pozemkov, obnova sústavy verejného osvetlenia.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lastRenderedPageBreak/>
        <w:t>BEŽNÉ VÝDAVKY V CELKOVEJ VÝŠKE        319 232,33 €       BOLI PODĽA FUNKČNEJ ROZPOČTOVEJ KLASIFIKÁCIE ČERPANÉ NASLEDOVNE: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21"/>
        <w:gridCol w:w="1573"/>
        <w:gridCol w:w="1484"/>
        <w:gridCol w:w="1432"/>
        <w:gridCol w:w="946"/>
      </w:tblGrid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bookmarkStart w:id="0" w:name="_Hlk169608777"/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  <w:bookmarkEnd w:id="0"/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% plnenia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0111 – Obce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138 000,00 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138 000,00 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169 938,71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123,14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0112 – Finančná a rozpočtová oblasť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6 000,00 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6 000,00 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6 880,40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114,67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0170 – Splácanie úrokov z úveru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3 420,80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342,08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0320 – Ochrana pred požiarmi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200,00 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200,00 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152,00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76,00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0412 – Všeobecná pracovná oblasť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13 000,00 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13 000,00 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16 166,34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124,36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0443 – Výstavba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5 000,00 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5 000,00 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4 810,39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96,21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0451 – Cestná doprava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17 000,00 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17 000,00 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4 564,94 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26,85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0510 – Nakladanie s odpadmi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23 000,00 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23 000,00 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26 488,46 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114,40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0520 – Nakladanie s odpad. vodami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400,00 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400,00 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200,00 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50,00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0620 – Rozvoj obcí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4 230,00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141,00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0630 – Zásobovanie vodou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3 000,00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7 086,66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236,22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0640 – Verejné osvetlenie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20 000,00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20 000,00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12 836,95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64,18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0810 – Rekreačné a športové služby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555,40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111,08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0820 – Kultúrne služby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15 000,00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15 000,00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25 018,06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166,79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0830 – Vysielacie a 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vydav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. služby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500,00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-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0840 – Náboženské a iné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spol.služby</w:t>
            </w:r>
            <w:proofErr w:type="spellEnd"/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1 000,00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840,34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84,03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1020 – Staroba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31100,00 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31 100,00 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30 354,25 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97,60</w:t>
            </w:r>
          </w:p>
        </w:tc>
      </w:tr>
      <w:tr w:rsidR="00D5221C">
        <w:trPr>
          <w:tblCellSpacing w:w="15" w:type="dxa"/>
        </w:trPr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 xml:space="preserve">Bežné výdavky FK spolu: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277 700,00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277 700,00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313 543,70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/>
            <w:vAlign w:val="center"/>
          </w:tcPr>
          <w:p w:rsidR="00D5221C" w:rsidRDefault="00252E16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114,96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 xml:space="preserve">Správa obce čerpala výdavky na mzdy, odvody, zaobstaranie materiálu, kancelárske potreby, servis prístrojov, zariadení, členské, poštovné a telekomunikačné služby, internet, pohonné hmoty áut, stravovanie zamestnancov, poistné budov, poistné auta, odmeny poslancov, reprezentačné. Finančná a rozpočtová oblasť – výdavky na mzdy, odvody kontrolóra obce, poplatky bánk, audit. Ochrana pred požiarmi – výdavok na energiu. Všeobecná pracovná oblasť – mzdy, odvody, stravovanie, prídel do sociálneho fondu, nemocenské dávky, poistné pracovníkov. Výstavba – spolufinancovanie spoločného stavebného úradu so sídlom v obci Kriváň, financie sú zúčtované na mzdy, odvody, materiálové zabezpečenie chodu stavebného úradu. Cestná doprava – zimná a bežná údržba miestnych komunikácií – nákup štrku, </w:t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lastRenderedPageBreak/>
        <w:t>pohonných hmôt. Nakladanie s odpadmi – výdavky na zber a triedenie (zneškodnenie, uloženie) odpadov, pohonné hmoty, servis a údržba traktoru. Nakladanie s odpadovými vodami – preplácala sa polovica výdavku za vývoz žumpy pre našich občanov. Ochrana životného prostredia – pohonné hmoty na kosenie, všeobecné služby – opravy kosačiek, nákup náradia, nákup materiálu. Rozvoj obcí – zaúčtovanie výdavkov na projektové, geodetické služby v rámci projektov. Zásobovanie vodou – údržba vodovodu v časti obce Bukovinka, výdavky na energie. Verejné osvetlenie – výdavky na obnovu verejného osvetlenia, ktorá sa splácala mesačne vo výške  280,00 €, energia, bežná údržba. Rekreačné a športové služby – údržba športovísk, poistné, všeobecný materiál, nájomné ihrisko. Kultúrne služby – bežná údržba budovy, kultúrne akcie počas celého roka, energie, všeobecný materiál, reprezentačné. Vysielacie a vydavateľské služby – výdavky na údržbu rozhlasu. Náboženské a iné spoločenské služby – výdavky na energie, vodné cintorín, všeobecný materiál, údržba. Predprimárne vzdelávanie tu bol zaúčtovaný výdavok na energie v budove MŠ.  Staroba – výdavky na mzdy, odvody opatrovateľky v domácnosti, stravovanie, doplatok na sociálnu službu v DS.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>Prenesené kompetencie v obci – výdavky v celkovej výške:  25 847,32 €, zdroje 111, 11H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36"/>
        <w:gridCol w:w="1278"/>
        <w:gridCol w:w="1464"/>
        <w:gridCol w:w="1432"/>
        <w:gridCol w:w="946"/>
      </w:tblGrid>
      <w:tr w:rsidR="00D5221C">
        <w:trPr>
          <w:tblCellSpacing w:w="15" w:type="dxa"/>
        </w:trPr>
        <w:tc>
          <w:tcPr>
            <w:tcW w:w="3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59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% plnenia</w:t>
            </w:r>
          </w:p>
        </w:tc>
      </w:tr>
      <w:tr w:rsidR="00D5221C">
        <w:trPr>
          <w:tblCellSpacing w:w="15" w:type="dxa"/>
        </w:trPr>
        <w:tc>
          <w:tcPr>
            <w:tcW w:w="3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0160 –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Všeo.verej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. služby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i.n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. (matrika)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2 500,00 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2 500,00 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2 892,25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115,69</w:t>
            </w:r>
          </w:p>
        </w:tc>
      </w:tr>
      <w:tr w:rsidR="00D5221C">
        <w:trPr>
          <w:tblCellSpacing w:w="15" w:type="dxa"/>
        </w:trPr>
        <w:tc>
          <w:tcPr>
            <w:tcW w:w="3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0160 –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Všeo.verej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. služby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i.n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. (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regob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)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190,00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190,00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180,18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94,83</w:t>
            </w:r>
          </w:p>
        </w:tc>
      </w:tr>
      <w:tr w:rsidR="00D5221C">
        <w:trPr>
          <w:tblCellSpacing w:w="15" w:type="dxa"/>
        </w:trPr>
        <w:tc>
          <w:tcPr>
            <w:tcW w:w="3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0160 –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Všeo.verej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. služby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i.n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. (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r.adries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)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20,00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20,00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24,40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122,00</w:t>
            </w:r>
          </w:p>
        </w:tc>
      </w:tr>
      <w:tr w:rsidR="00D5221C">
        <w:trPr>
          <w:tblCellSpacing w:w="15" w:type="dxa"/>
        </w:trPr>
        <w:tc>
          <w:tcPr>
            <w:tcW w:w="3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0220 – Civilná ochrana (CO sklad)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150,00 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150,00 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168,84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112,56</w:t>
            </w:r>
          </w:p>
        </w:tc>
      </w:tr>
      <w:tr w:rsidR="00D5221C">
        <w:trPr>
          <w:tblCellSpacing w:w="15" w:type="dxa"/>
        </w:trPr>
        <w:tc>
          <w:tcPr>
            <w:tcW w:w="3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0443 – Výstavba 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700,00 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700,00 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894,93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127,93 </w:t>
            </w:r>
          </w:p>
        </w:tc>
      </w:tr>
      <w:tr w:rsidR="00D5221C">
        <w:trPr>
          <w:tblCellSpacing w:w="15" w:type="dxa"/>
        </w:trPr>
        <w:tc>
          <w:tcPr>
            <w:tcW w:w="3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0451 – Cestná doprava 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25,00 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25,00 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23,59 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94,36</w:t>
            </w:r>
          </w:p>
        </w:tc>
      </w:tr>
      <w:tr w:rsidR="00D5221C">
        <w:trPr>
          <w:tblCellSpacing w:w="15" w:type="dxa"/>
        </w:trPr>
        <w:tc>
          <w:tcPr>
            <w:tcW w:w="3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0560 – Ochrana život.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prost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i.n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55,00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55,00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71,36 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129,75</w:t>
            </w:r>
          </w:p>
        </w:tc>
      </w:tr>
      <w:tr w:rsidR="00D5221C">
        <w:trPr>
          <w:tblCellSpacing w:w="15" w:type="dxa"/>
        </w:trPr>
        <w:tc>
          <w:tcPr>
            <w:tcW w:w="3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0560 MF – EF 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1 433,00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-</w:t>
            </w:r>
          </w:p>
        </w:tc>
      </w:tr>
      <w:tr w:rsidR="00D5221C">
        <w:trPr>
          <w:tblCellSpacing w:w="15" w:type="dxa"/>
        </w:trPr>
        <w:tc>
          <w:tcPr>
            <w:tcW w:w="3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Prenesené kompetencie spolu: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3 640,00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3 640,00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5 688,63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EF2C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156,28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lastRenderedPageBreak/>
        <w:t>2. KAPITÁLOVÉ VÝDAVKY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Kapitálové výdavky boli podľa ekonomickej rozpočtovej klasifikácie čerpané nasledovne: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25"/>
        <w:gridCol w:w="1570"/>
        <w:gridCol w:w="1483"/>
        <w:gridCol w:w="1432"/>
        <w:gridCol w:w="946"/>
      </w:tblGrid>
      <w:tr w:rsidR="00D5221C">
        <w:trPr>
          <w:tblCellSpacing w:w="15" w:type="dxa"/>
        </w:trPr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4C6E7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% plnenia</w:t>
            </w:r>
          </w:p>
        </w:tc>
      </w:tr>
      <w:tr w:rsidR="00D5221C">
        <w:trPr>
          <w:tblCellSpacing w:w="15" w:type="dxa"/>
        </w:trPr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Rekonštrukcia sály v KD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73 895,34 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73895,34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100,00</w:t>
            </w:r>
          </w:p>
        </w:tc>
      </w:tr>
      <w:tr w:rsidR="00D5221C">
        <w:trPr>
          <w:tblCellSpacing w:w="15" w:type="dxa"/>
        </w:trPr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Nákup malotraktora s 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prísl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16 186,80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16 186,80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100,00</w:t>
            </w:r>
          </w:p>
        </w:tc>
      </w:tr>
      <w:tr w:rsidR="00D5221C">
        <w:trPr>
          <w:tblCellSpacing w:w="15" w:type="dxa"/>
        </w:trPr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Rekonš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. MK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doasfalt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.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6 018,05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6 018,05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100,00</w:t>
            </w:r>
          </w:p>
        </w:tc>
      </w:tr>
      <w:tr w:rsidR="00D5221C">
        <w:trPr>
          <w:tblCellSpacing w:w="15" w:type="dxa"/>
        </w:trPr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Vybudovanie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vod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. Vrtu Bukovinka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6000,00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6000,00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100,00</w:t>
            </w:r>
          </w:p>
        </w:tc>
      </w:tr>
      <w:tr w:rsidR="00D5221C">
        <w:trPr>
          <w:tblCellSpacing w:w="15" w:type="dxa"/>
        </w:trPr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 xml:space="preserve">Kapitálové výdavky spolu: 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102  100,19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102 100,19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E2F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100,00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KAPITÁLOVÉ VÝDAVKY BOLI PODĽA FUNKČNEJ ROZPOČTOVEJ KLASIFIKÁCIE ČERPANÉ NASLEDOVNE: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2"/>
        <w:gridCol w:w="1578"/>
        <w:gridCol w:w="1488"/>
        <w:gridCol w:w="1432"/>
        <w:gridCol w:w="946"/>
      </w:tblGrid>
      <w:tr w:rsidR="00D5221C">
        <w:trPr>
          <w:tblCellSpacing w:w="15" w:type="dxa"/>
        </w:trPr>
        <w:tc>
          <w:tcPr>
            <w:tcW w:w="3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E0B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% plnenia</w:t>
            </w:r>
          </w:p>
        </w:tc>
      </w:tr>
      <w:tr w:rsidR="00D5221C">
        <w:trPr>
          <w:tblCellSpacing w:w="15" w:type="dxa"/>
        </w:trPr>
        <w:tc>
          <w:tcPr>
            <w:tcW w:w="3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04.5.1 – cestná doprava </w:t>
            </w:r>
          </w:p>
        </w:tc>
        <w:tc>
          <w:tcPr>
            <w:tcW w:w="1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6 018,05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6 018,05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100,00</w:t>
            </w:r>
          </w:p>
        </w:tc>
      </w:tr>
      <w:tr w:rsidR="00D5221C">
        <w:trPr>
          <w:tblCellSpacing w:w="15" w:type="dxa"/>
        </w:trPr>
        <w:tc>
          <w:tcPr>
            <w:tcW w:w="3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05.1.0 – cestná doprava </w:t>
            </w:r>
          </w:p>
        </w:tc>
        <w:tc>
          <w:tcPr>
            <w:tcW w:w="1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16 186,80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16 186,80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100,00</w:t>
            </w:r>
          </w:p>
        </w:tc>
      </w:tr>
      <w:tr w:rsidR="00D5221C">
        <w:trPr>
          <w:tblCellSpacing w:w="15" w:type="dxa"/>
        </w:trPr>
        <w:tc>
          <w:tcPr>
            <w:tcW w:w="3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06.3.0 - vodovod</w:t>
            </w:r>
          </w:p>
        </w:tc>
        <w:tc>
          <w:tcPr>
            <w:tcW w:w="1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6 000,00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6 000,00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100,00</w:t>
            </w:r>
          </w:p>
        </w:tc>
      </w:tr>
      <w:tr w:rsidR="00D5221C">
        <w:trPr>
          <w:tblCellSpacing w:w="15" w:type="dxa"/>
        </w:trPr>
        <w:tc>
          <w:tcPr>
            <w:tcW w:w="3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08.2.0 – kultúrne služby </w:t>
            </w:r>
          </w:p>
        </w:tc>
        <w:tc>
          <w:tcPr>
            <w:tcW w:w="1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73 895,34 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73 895,34 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100,00</w:t>
            </w:r>
          </w:p>
        </w:tc>
      </w:tr>
      <w:tr w:rsidR="00D5221C">
        <w:trPr>
          <w:tblCellSpacing w:w="15" w:type="dxa"/>
        </w:trPr>
        <w:tc>
          <w:tcPr>
            <w:tcW w:w="3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 xml:space="preserve">Kapitálové výdavky podľa FK spolu: </w:t>
            </w:r>
          </w:p>
        </w:tc>
        <w:tc>
          <w:tcPr>
            <w:tcW w:w="1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102 100,19</w:t>
            </w:r>
          </w:p>
        </w:tc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102 100,19</w:t>
            </w:r>
          </w:p>
        </w:tc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FD9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100,00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center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III. FINANČNÉ OPERÁCIE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1. PRÍJMOVÉ FINANČNÉ OPERÁCIE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67"/>
        <w:gridCol w:w="1278"/>
        <w:gridCol w:w="1791"/>
        <w:gridCol w:w="1920"/>
      </w:tblGrid>
      <w:tr w:rsidR="00D5221C">
        <w:trPr>
          <w:tblCellSpacing w:w="15" w:type="dxa"/>
        </w:trPr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8C8C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8C8C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8C8C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8C8C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</w:tr>
      <w:tr w:rsidR="00D5221C">
        <w:trPr>
          <w:tblCellSpacing w:w="15" w:type="dxa"/>
        </w:trPr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D5221C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D5221C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D5221C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D5221C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</w:p>
        </w:tc>
      </w:tr>
      <w:tr w:rsidR="00D5221C">
        <w:trPr>
          <w:tblCellSpacing w:w="15" w:type="dxa"/>
        </w:trPr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numPr>
                <w:ilvl w:val="0"/>
                <w:numId w:val="4"/>
              </w:num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lastRenderedPageBreak/>
              <w:t>prevod prostriedkov peňažných fondov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24 949,00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24 949,00</w:t>
            </w:r>
          </w:p>
        </w:tc>
      </w:tr>
      <w:tr w:rsidR="00D5221C">
        <w:trPr>
          <w:tblCellSpacing w:w="15" w:type="dxa"/>
        </w:trPr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Tuzemské úvery a pôžičky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90 000,00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98 000,00</w:t>
            </w:r>
          </w:p>
        </w:tc>
      </w:tr>
      <w:tr w:rsidR="00D5221C">
        <w:trPr>
          <w:tblCellSpacing w:w="15" w:type="dxa"/>
        </w:trPr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Príjmové finančné operácie spolu:</w:t>
            </w:r>
          </w:p>
        </w:tc>
        <w:tc>
          <w:tcPr>
            <w:tcW w:w="1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114 949,00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122 949,00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 xml:space="preserve">Do príjmových finančných operácií bol zaúčtovaný prevod finančných prostriedkov zo zostatku úveru na pokrytie výdavkov kapitálového rozpočtu, a tiež prevod prostriedkov z peňažných fondov, účelovo určené finančné prostriedky .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3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2. VÝDAVKOVÉ FINANČNÉ OPERÁCIE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0"/>
        <w:gridCol w:w="1766"/>
        <w:gridCol w:w="1661"/>
        <w:gridCol w:w="1529"/>
      </w:tblGrid>
      <w:tr w:rsidR="00D5221C">
        <w:trPr>
          <w:tblCellSpacing w:w="15" w:type="dxa"/>
        </w:trPr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</w:tr>
      <w:tr w:rsidR="00D5221C">
        <w:trPr>
          <w:tblCellSpacing w:w="15" w:type="dxa"/>
        </w:trPr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Splácanie istiny úveru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6 000,00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6 000,00 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ADADA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4 000,00 </w:t>
            </w:r>
          </w:p>
        </w:tc>
      </w:tr>
    </w:tbl>
    <w:p w:rsidR="00D5221C" w:rsidRDefault="00D5221C">
      <w:pPr>
        <w:shd w:val="clear" w:color="auto" w:fill="F8F8F8"/>
        <w:spacing w:before="100" w:beforeAutospacing="1" w:after="100" w:afterAutospacing="1" w:line="254" w:lineRule="auto"/>
        <w:jc w:val="center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jc w:val="center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jc w:val="center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center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IV. VÝSLEDOK HOSPODÁRENIA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Výsledok rozpočtového hospodárenia sa zisťuje po zúčtovaní celkových príjmov a výdavkov ako výsledok ich súhrnnej bilancie. Výsledok rozpočtového hospodárenia môže byť prebytok alebo schodok jej rozpočtu; podľa </w:t>
      </w:r>
      <w:hyperlink r:id="rId13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§ 2 písm. b) a c)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a </w:t>
      </w:r>
      <w:hyperlink r:id="rId14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§ 10 ods. 3 písm. a) a b) zákona o rozpočtových pravidlách územnej samosprávy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; prebytkom rozpočtu je kladný rozdiel medzi príjmami a výdavkami rozpočtu, schodkom rozpočtu je záporný rozdiel medzi príjmami a výdavkami rozpočtu. Pod príjmami a výdavkami rozpočtu sa chápu bežné príjmy a bežné výdavky (bežný rozpočet) a kapitálové príjmy a kapitálové výdavky (kapitálový rozpočet); súčasťou príjmov a výdavkov rozpočtu nie sú finančné operácie.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lastRenderedPageBreak/>
        <w:t>Hospodárenie samosprávy dokumentuje nasledovná tabuľka: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5"/>
        <w:gridCol w:w="1935"/>
        <w:gridCol w:w="1950"/>
        <w:gridCol w:w="2370"/>
      </w:tblGrid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496B0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496B0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Schválený rozpočet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496B0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Upravený rozpočet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496B0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Skutočnosť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Bežné príjmy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288 030,00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288 030,00 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283 990,92 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Bežné výdavky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281 340,00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281 340,00 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319 232,33 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Prebytok bežného rozpočtu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+ 6 690,00 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+6 690,00 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CAAC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- 35 241,41 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Kapitálové príjmy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54 995,50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55 075,50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Kapitálové výdavky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102 100,19 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102 100,19 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Schodok kapitálového rozpočtu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- 47 104,69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 w:themeFill="accent2" w:themeFillTint="3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- 47 024,69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Príjmy celkom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288 030,00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343 025,50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339 066,42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Výdavky celkom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281 340,00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383 440,19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421 332,52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 w:themeFill="accent2" w:themeFillTint="3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Schodok rozpočtu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+ 6 690,00 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- 40 414,69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 w:themeFill="accent2" w:themeFillTint="3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bookmarkStart w:id="1" w:name="_Hlk169105154"/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- 82 266,10 </w:t>
            </w:r>
            <w:bookmarkEnd w:id="1"/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Príjmové finančné operácie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114 949,00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122 949,00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Výdavkové finančné operácie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6 000,00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6 000,00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4 000,00</w:t>
            </w:r>
          </w:p>
        </w:tc>
      </w:tr>
      <w:tr w:rsidR="00D5221C">
        <w:trPr>
          <w:tblCellSpacing w:w="15" w:type="dxa"/>
        </w:trPr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bCs/>
                <w:color w:val="282828"/>
                <w:sz w:val="24"/>
                <w:szCs w:val="24"/>
                <w:lang w:eastAsia="sk-SK"/>
              </w:rPr>
              <w:t>Zostatok finančných operácií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-6 000,00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+ 108 949,00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E4D5" w:themeFill="accent2" w:themeFillTint="33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282828"/>
                <w:sz w:val="24"/>
                <w:szCs w:val="24"/>
                <w:lang w:eastAsia="sk-SK"/>
              </w:rPr>
              <w:t>+118 949,00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Samospráva hospodárila so schodkom vo výške </w:t>
      </w:r>
      <w:r>
        <w:rPr>
          <w:rFonts w:ascii="Arial" w:eastAsia="Times New Roman" w:hAnsi="Arial" w:cs="Arial"/>
          <w:color w:val="FF0000"/>
          <w:sz w:val="24"/>
          <w:szCs w:val="24"/>
          <w:lang w:eastAsia="sk-SK"/>
        </w:rPr>
        <w:t xml:space="preserve">-82 266,10  €; 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takto vykázaný schodok rozpočtu je zistený v súlade s </w:t>
      </w:r>
      <w:hyperlink r:id="rId15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§ 2 písm. b) a c)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a </w:t>
      </w:r>
      <w:hyperlink r:id="rId16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§ 10 ods. 3 písm. a) a b) zákona o rozpočtových pravidlách územnej samosprávy.</w:t>
        </w:r>
      </w:hyperlink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Podľa </w:t>
      </w:r>
      <w:hyperlink r:id="rId17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§ 10 ods. 6 zákona o rozpočtových pravidlách územnej samosprávy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súčasťou rozpočtu sú finančné operácie, ktorými sa vykonávajú prevody prostriedkov peňažných fondov a realizujú sa návratné zdroje financovania a ich splácanie.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 xml:space="preserve">Rozdiel medzi príjmovými a výdavkovými finančnými operáciami vo výške </w:t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softHyphen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shd w:val="clear" w:color="auto" w:fill="DDDDDD"/>
          <w:lang w:eastAsia="sk-SK"/>
        </w:rPr>
        <w:t xml:space="preserve">___+118 949,00 </w:t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 xml:space="preserve"> € bol v priebehu roka použitý na financovanie schodku rozpočtu. Schodok rozpočtu bol v roku financovaný z úveru vo výške 98 000,00 € a prevodom z peňažného fondu 24 949,00 €.</w:t>
      </w: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lastRenderedPageBreak/>
        <w:t>B. Bilancia aktív a pasív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i/>
          <w:iCs/>
          <w:color w:val="FF0000"/>
          <w:sz w:val="24"/>
          <w:szCs w:val="24"/>
          <w:shd w:val="clear" w:color="auto" w:fill="DDDDDD"/>
          <w:lang w:eastAsia="sk-SK"/>
        </w:rPr>
      </w:pPr>
      <w:r>
        <w:rPr>
          <w:rFonts w:ascii="Arial" w:eastAsia="Times New Roman" w:hAnsi="Arial" w:cs="Arial"/>
          <w:i/>
          <w:iCs/>
          <w:color w:val="FF0000"/>
          <w:sz w:val="24"/>
          <w:szCs w:val="24"/>
          <w:shd w:val="clear" w:color="auto" w:fill="DDDDDD"/>
          <w:lang w:eastAsia="sk-SK"/>
        </w:rPr>
        <w:t xml:space="preserve">Do majetku pribudlo v roku 2025 zrealizovanie projektu: 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 xml:space="preserve">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1. NEOBEŽNÝ MAJETOK</w:t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  <w:t>629 229,34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1.1. Dlhodobý nehmotný majetok</w:t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  <w:t xml:space="preserve">           0,00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1.2. Dlhodobý hmotný majetok</w:t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  <w:t>486 959,34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1.3. Dlhodobý finančný majetok</w:t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  <w:t>142 270,00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2. OBEŽNÝ MAJETOK</w:t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  <w:t xml:space="preserve">  12 577,82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2.1. Zásoby</w:t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  <w:t xml:space="preserve">           0,00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2.2. Finančný majetok</w:t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  <w:t xml:space="preserve">    8 545,51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2.3. Pohľadávky</w:t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  <w:t xml:space="preserve">    4 032,31</w:t>
      </w:r>
    </w:p>
    <w:p w:rsidR="00D5221C" w:rsidRDefault="00016330">
      <w:pPr>
        <w:numPr>
          <w:ilvl w:val="0"/>
          <w:numId w:val="5"/>
        </w:num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Nedaňové pohľadávky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     1 794,43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Pohľadávky v lehote splatnosti: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     1 794,43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Pohľadávky po lehote splatnosti: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                        -</w:t>
      </w:r>
    </w:p>
    <w:p w:rsidR="00D5221C" w:rsidRDefault="00016330">
      <w:pPr>
        <w:numPr>
          <w:ilvl w:val="0"/>
          <w:numId w:val="6"/>
        </w:num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>Daňové nedoplatky</w:t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  <w:t xml:space="preserve">    </w:t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  <w:t xml:space="preserve">     </w:t>
      </w:r>
      <w:r>
        <w:rPr>
          <w:rFonts w:ascii="Arial" w:eastAsia="Times New Roman" w:hAnsi="Arial" w:cs="Arial"/>
          <w:iCs/>
          <w:color w:val="282828"/>
          <w:sz w:val="24"/>
          <w:szCs w:val="24"/>
          <w:lang w:eastAsia="sk-SK"/>
        </w:rPr>
        <w:t>2 237,88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Pohľadávky v lehote splatnosti: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     2 237,88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Pohľadávky po lehote splatnosti:                                             -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2.4. Záväzky</w:t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ab/>
        <w:t>196 914,42</w:t>
      </w:r>
    </w:p>
    <w:p w:rsidR="00D5221C" w:rsidRDefault="00016330">
      <w:pPr>
        <w:numPr>
          <w:ilvl w:val="0"/>
          <w:numId w:val="7"/>
        </w:num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>Dlhodobé záväzky</w:t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  <w:t xml:space="preserve">         </w:t>
      </w:r>
      <w:r>
        <w:rPr>
          <w:rFonts w:ascii="Arial" w:eastAsia="Times New Roman" w:hAnsi="Arial" w:cs="Arial"/>
          <w:iCs/>
          <w:color w:val="282828"/>
          <w:sz w:val="24"/>
          <w:szCs w:val="24"/>
          <w:lang w:eastAsia="sk-SK"/>
        </w:rPr>
        <w:t>89,56</w:t>
      </w:r>
    </w:p>
    <w:p w:rsidR="00D5221C" w:rsidRDefault="00016330">
      <w:pPr>
        <w:numPr>
          <w:ilvl w:val="0"/>
          <w:numId w:val="7"/>
        </w:num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Rezervy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    8 500,00</w:t>
      </w:r>
    </w:p>
    <w:p w:rsidR="00D5221C" w:rsidRDefault="00016330">
      <w:pPr>
        <w:numPr>
          <w:ilvl w:val="0"/>
          <w:numId w:val="7"/>
        </w:num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Bankové úvery a výpomoci</w:t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ab/>
        <w:t xml:space="preserve">           125 004,50</w:t>
      </w:r>
    </w:p>
    <w:p w:rsidR="00D5221C" w:rsidRDefault="00016330">
      <w:pPr>
        <w:numPr>
          <w:ilvl w:val="0"/>
          <w:numId w:val="7"/>
        </w:num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>Krátkodobé záväzky</w:t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  <w:tab/>
        <w:t xml:space="preserve">  </w:t>
      </w:r>
      <w:r>
        <w:rPr>
          <w:rFonts w:ascii="Arial" w:eastAsia="Times New Roman" w:hAnsi="Arial" w:cs="Arial"/>
          <w:iCs/>
          <w:color w:val="282828"/>
          <w:sz w:val="24"/>
          <w:szCs w:val="24"/>
          <w:lang w:eastAsia="sk-SK"/>
        </w:rPr>
        <w:t>63 320,36</w:t>
      </w:r>
    </w:p>
    <w:p w:rsidR="00D5221C" w:rsidRDefault="00D5221C">
      <w:pPr>
        <w:shd w:val="clear" w:color="auto" w:fill="F8F8F8"/>
        <w:tabs>
          <w:tab w:val="left" w:pos="0"/>
          <w:tab w:val="left" w:pos="540"/>
        </w:tabs>
        <w:spacing w:before="100" w:beforeAutospacing="1" w:after="100" w:afterAutospacing="1" w:line="254" w:lineRule="auto"/>
        <w:ind w:left="720"/>
        <w:rPr>
          <w:rFonts w:ascii="Arial" w:eastAsia="Times New Roman" w:hAnsi="Arial" w:cs="Arial"/>
          <w:i/>
          <w:iCs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tabs>
          <w:tab w:val="left" w:pos="0"/>
          <w:tab w:val="left" w:pos="540"/>
        </w:tabs>
        <w:spacing w:before="100" w:beforeAutospacing="1" w:after="100" w:afterAutospacing="1" w:line="254" w:lineRule="auto"/>
        <w:ind w:left="720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tabs>
          <w:tab w:val="left" w:pos="0"/>
          <w:tab w:val="left" w:pos="540"/>
        </w:tabs>
        <w:spacing w:before="100" w:beforeAutospacing="1" w:after="100" w:afterAutospacing="1" w:line="254" w:lineRule="auto"/>
        <w:ind w:left="720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D5221C">
      <w:pPr>
        <w:shd w:val="clear" w:color="auto" w:fill="F8F8F8"/>
        <w:tabs>
          <w:tab w:val="left" w:pos="0"/>
          <w:tab w:val="left" w:pos="540"/>
        </w:tabs>
        <w:spacing w:before="100" w:beforeAutospacing="1" w:after="100" w:afterAutospacing="1" w:line="254" w:lineRule="auto"/>
        <w:ind w:left="720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lastRenderedPageBreak/>
        <w:t>C. Prehľad o stave a vývoji DLHU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Prehľad o návratných zdrojoch financovania a dodávateľských investičných úveroch so stavom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k 31. 12. </w:t>
      </w:r>
      <w:r>
        <w:rPr>
          <w:rFonts w:ascii="Arial" w:eastAsia="Times New Roman" w:hAnsi="Arial" w:cs="Arial"/>
          <w:color w:val="282828"/>
          <w:sz w:val="24"/>
          <w:szCs w:val="24"/>
          <w:shd w:val="clear" w:color="auto" w:fill="DDDDDD"/>
          <w:lang w:eastAsia="sk-SK"/>
        </w:rPr>
        <w:t>___2025__</w:t>
      </w:r>
      <w:r>
        <w:rPr>
          <w:rFonts w:ascii="Arial" w:eastAsia="Times New Roman" w:hAnsi="Arial" w:cs="Arial"/>
          <w:b/>
          <w:bCs/>
          <w:color w:val="282828"/>
          <w:sz w:val="24"/>
          <w:szCs w:val="24"/>
          <w:lang w:eastAsia="sk-SK"/>
        </w:rPr>
        <w:t>: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0"/>
        <w:gridCol w:w="1455"/>
        <w:gridCol w:w="1440"/>
        <w:gridCol w:w="2212"/>
        <w:gridCol w:w="2100"/>
      </w:tblGrid>
      <w:tr w:rsidR="00D5221C">
        <w:trPr>
          <w:tblCellSpacing w:w="15" w:type="dxa"/>
        </w:trPr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Úver – číslo zmluvy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Splatnosť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Schválená výška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Účel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Zostatok</w:t>
            </w:r>
          </w:p>
        </w:tc>
      </w:tr>
      <w:tr w:rsidR="00D5221C">
        <w:trPr>
          <w:tblCellSpacing w:w="15" w:type="dxa"/>
        </w:trPr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64/004/19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13.11.2029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60 000,00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Dofinancovanie projektov  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60 000,00</w:t>
            </w:r>
          </w:p>
        </w:tc>
      </w:tr>
      <w:tr w:rsidR="00D5221C">
        <w:trPr>
          <w:tblCellSpacing w:w="15" w:type="dxa"/>
        </w:trPr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Dodatok č. 1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10.11.2034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60 000,00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Dofinancovanie projektov  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60 000,00</w:t>
            </w:r>
          </w:p>
        </w:tc>
      </w:tr>
      <w:tr w:rsidR="00D5221C">
        <w:trPr>
          <w:tblCellSpacing w:w="15" w:type="dxa"/>
        </w:trPr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64/006/25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08.07.2026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60 000,00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Predfinancovanie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 a spolufinancovanie projektu – </w:t>
            </w:r>
            <w:proofErr w:type="spellStart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rek</w:t>
            </w:r>
            <w:proofErr w:type="spellEnd"/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. Sály KD 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5 004,50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Podmienky na prijatie návratných zdrojov financovania sú upravené v ustanovení </w:t>
      </w:r>
      <w:hyperlink r:id="rId18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§ 17 ods. 6 zákona o rozpočtových pravidlách územnej samosprávy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. Podľa citovaného ustanovenia samospráva môže na plnenie svojich úloh prijať návratné zdroje financovania, len ak:</w:t>
      </w:r>
    </w:p>
    <w:p w:rsidR="00D5221C" w:rsidRDefault="00016330">
      <w:pPr>
        <w:numPr>
          <w:ilvl w:val="0"/>
          <w:numId w:val="8"/>
        </w:num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celková suma dlhu obce neprekročí 60 % skutočných bežných príjmov predchádzajúceho rozpočtového roka a</w:t>
      </w:r>
    </w:p>
    <w:p w:rsidR="00D5221C" w:rsidRDefault="00016330">
      <w:pPr>
        <w:numPr>
          <w:ilvl w:val="0"/>
          <w:numId w:val="8"/>
        </w:num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suma splátok návratných zdrojov financovania, vrátane úhrady výnosov a suma splátok záväzkov z investičných dodávateľských úverov neprekročí v príslušnom rozpočtovom roku 25 % skutočných bežných príjmov predchádzajúceho rozpočtového roka znížených o prostriedky poskytnuté v príslušnom rozpočtovom roku obci alebo vyššiemu územnému celku z rozpočtu iného subjektu verejnej správy, prostriedky poskytnuté z Európskej únie a iné prostriedky zo zahraničia alebo prostriedky získané na základe osobitného predpisu,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pričom platí, že obe podmienky musia byť splnené súčasne.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Vývoj podmienok na prijatie návratných zdrojov financovania za obdobie posledných 5 rozpočtových rokov:</w:t>
      </w:r>
    </w:p>
    <w:tbl>
      <w:tblPr>
        <w:tblStyle w:val="TableNormal1"/>
        <w:tblW w:w="0" w:type="auto"/>
        <w:jc w:val="right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7"/>
        <w:gridCol w:w="1428"/>
        <w:gridCol w:w="1181"/>
        <w:gridCol w:w="2693"/>
        <w:gridCol w:w="1431"/>
        <w:gridCol w:w="1396"/>
      </w:tblGrid>
      <w:tr w:rsidR="00D5221C">
        <w:trPr>
          <w:tblCellSpacing w:w="15" w:type="dxa"/>
          <w:jc w:val="right"/>
        </w:trPr>
        <w:tc>
          <w:tcPr>
            <w:tcW w:w="8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Rok</w:t>
            </w:r>
          </w:p>
        </w:tc>
        <w:tc>
          <w:tcPr>
            <w:tcW w:w="13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Celková suma dlhu v €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Suma ročných splátok vrátane výnosov</w:t>
            </w:r>
          </w:p>
        </w:tc>
        <w:tc>
          <w:tcPr>
            <w:tcW w:w="2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Skutočné bežné príjmy predchádzajúceho roka/skutočné bežné príjmy predchádzajúceho roka bez transferov</w:t>
            </w:r>
          </w:p>
        </w:tc>
        <w:tc>
          <w:tcPr>
            <w:tcW w:w="1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hyperlink r:id="rId19" w:history="1">
              <w:r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  <w:lang w:eastAsia="sk-SK"/>
                </w:rPr>
                <w:t>§ 17 ods. 6 písm. a)</w:t>
              </w:r>
            </w:hyperlink>
          </w:p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(v €)</w:t>
            </w:r>
          </w:p>
        </w:tc>
        <w:tc>
          <w:tcPr>
            <w:tcW w:w="13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hyperlink r:id="rId20" w:history="1">
              <w:r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  <w:lang w:eastAsia="sk-SK"/>
                </w:rPr>
                <w:t>§ 17 ods. 6 písm. b)</w:t>
              </w:r>
            </w:hyperlink>
          </w:p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(v €)</w:t>
            </w:r>
          </w:p>
        </w:tc>
      </w:tr>
      <w:tr w:rsidR="00D5221C">
        <w:trPr>
          <w:tblCellSpacing w:w="15" w:type="dxa"/>
          <w:jc w:val="right"/>
        </w:trPr>
        <w:tc>
          <w:tcPr>
            <w:tcW w:w="8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2019</w:t>
            </w:r>
          </w:p>
        </w:tc>
        <w:tc>
          <w:tcPr>
            <w:tcW w:w="13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20 000,00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 xml:space="preserve">   0,00 </w:t>
            </w:r>
          </w:p>
        </w:tc>
        <w:tc>
          <w:tcPr>
            <w:tcW w:w="2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289 391,19/252 261,64</w:t>
            </w:r>
          </w:p>
        </w:tc>
        <w:tc>
          <w:tcPr>
            <w:tcW w:w="1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173 634,71</w:t>
            </w:r>
          </w:p>
        </w:tc>
        <w:tc>
          <w:tcPr>
            <w:tcW w:w="13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63 065,41 </w:t>
            </w:r>
          </w:p>
        </w:tc>
      </w:tr>
      <w:tr w:rsidR="00D5221C">
        <w:trPr>
          <w:tblCellSpacing w:w="15" w:type="dxa"/>
          <w:jc w:val="right"/>
        </w:trPr>
        <w:tc>
          <w:tcPr>
            <w:tcW w:w="8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lastRenderedPageBreak/>
              <w:t> 2020</w:t>
            </w:r>
          </w:p>
        </w:tc>
        <w:tc>
          <w:tcPr>
            <w:tcW w:w="13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32 790,56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2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282 063,39/245 515,19</w:t>
            </w:r>
          </w:p>
        </w:tc>
        <w:tc>
          <w:tcPr>
            <w:tcW w:w="1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169 238,03</w:t>
            </w:r>
          </w:p>
        </w:tc>
        <w:tc>
          <w:tcPr>
            <w:tcW w:w="13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61 378,80</w:t>
            </w:r>
          </w:p>
        </w:tc>
      </w:tr>
      <w:tr w:rsidR="00D5221C">
        <w:trPr>
          <w:tblCellSpacing w:w="15" w:type="dxa"/>
          <w:jc w:val="right"/>
        </w:trPr>
        <w:tc>
          <w:tcPr>
            <w:tcW w:w="8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2021</w:t>
            </w:r>
          </w:p>
        </w:tc>
        <w:tc>
          <w:tcPr>
            <w:tcW w:w="13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32 790,56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2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294 644,30/255 345,94</w:t>
            </w:r>
          </w:p>
        </w:tc>
        <w:tc>
          <w:tcPr>
            <w:tcW w:w="1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176 786,58</w:t>
            </w:r>
          </w:p>
        </w:tc>
        <w:tc>
          <w:tcPr>
            <w:tcW w:w="13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63 836,49</w:t>
            </w:r>
          </w:p>
        </w:tc>
      </w:tr>
      <w:tr w:rsidR="00D5221C">
        <w:trPr>
          <w:tblCellSpacing w:w="15" w:type="dxa"/>
          <w:jc w:val="right"/>
        </w:trPr>
        <w:tc>
          <w:tcPr>
            <w:tcW w:w="8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2022</w:t>
            </w:r>
          </w:p>
        </w:tc>
        <w:tc>
          <w:tcPr>
            <w:tcW w:w="13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32 790,56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2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237 465,61/224 350,57</w:t>
            </w:r>
          </w:p>
        </w:tc>
        <w:tc>
          <w:tcPr>
            <w:tcW w:w="1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142 479,37</w:t>
            </w:r>
          </w:p>
        </w:tc>
        <w:tc>
          <w:tcPr>
            <w:tcW w:w="13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56 087,64</w:t>
            </w:r>
          </w:p>
        </w:tc>
      </w:tr>
      <w:tr w:rsidR="00D5221C">
        <w:trPr>
          <w:tblCellSpacing w:w="15" w:type="dxa"/>
          <w:jc w:val="right"/>
        </w:trPr>
        <w:tc>
          <w:tcPr>
            <w:tcW w:w="8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2023</w:t>
            </w:r>
          </w:p>
        </w:tc>
        <w:tc>
          <w:tcPr>
            <w:tcW w:w="13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84 185,83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0,00</w:t>
            </w:r>
          </w:p>
        </w:tc>
        <w:tc>
          <w:tcPr>
            <w:tcW w:w="2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294 721,47/262 820,79</w:t>
            </w:r>
          </w:p>
        </w:tc>
        <w:tc>
          <w:tcPr>
            <w:tcW w:w="1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176 832,88</w:t>
            </w:r>
          </w:p>
        </w:tc>
        <w:tc>
          <w:tcPr>
            <w:tcW w:w="13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65 705,20</w:t>
            </w:r>
          </w:p>
        </w:tc>
      </w:tr>
      <w:tr w:rsidR="00D5221C">
        <w:trPr>
          <w:tblCellSpacing w:w="15" w:type="dxa"/>
          <w:jc w:val="right"/>
        </w:trPr>
        <w:tc>
          <w:tcPr>
            <w:tcW w:w="8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2024</w:t>
            </w:r>
          </w:p>
        </w:tc>
        <w:tc>
          <w:tcPr>
            <w:tcW w:w="13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125 004,50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4 000,00</w:t>
            </w:r>
          </w:p>
        </w:tc>
        <w:tc>
          <w:tcPr>
            <w:tcW w:w="2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283 990,92/278 302,29</w:t>
            </w:r>
          </w:p>
        </w:tc>
        <w:tc>
          <w:tcPr>
            <w:tcW w:w="1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170 394,55</w:t>
            </w:r>
          </w:p>
        </w:tc>
        <w:tc>
          <w:tcPr>
            <w:tcW w:w="13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right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69 575,57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Samospráva za obdobie posledných 6 rokov vždy spĺňala podmienky pre prijatie návratných zdrojov financovania do budúcnosti.</w:t>
      </w:r>
      <w:bookmarkStart w:id="2" w:name="_GoBack"/>
      <w:bookmarkEnd w:id="2"/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E. Prehľad o poskytnutých DOTÁCIÁCH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V súlade so </w:t>
      </w:r>
      <w:hyperlink r:id="rId21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zákonom o rozpočtových pravidlách územnej samosprávy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návrh záverečného účtu obsahuje aj podrobný prehľad o poskytnutých dotáciách podľa </w:t>
      </w:r>
      <w:hyperlink r:id="rId22" w:history="1">
        <w:r>
          <w:rPr>
            <w:rFonts w:ascii="Arial" w:eastAsia="Calibri" w:hAnsi="Arial" w:cs="Arial"/>
            <w:color w:val="196D03"/>
            <w:sz w:val="24"/>
            <w:szCs w:val="24"/>
            <w:u w:val="single"/>
            <w:lang w:eastAsia="sk-SK"/>
          </w:rPr>
          <w:t>§ 7 ods. 4</w:t>
        </w:r>
      </w:hyperlink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 cit. zákona v členení podľa jednotlivých príjemcov.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jc w:val="both"/>
        <w:rPr>
          <w:rFonts w:ascii="Arial" w:eastAsia="Times New Roman" w:hAnsi="Arial" w:cs="Arial"/>
          <w:color w:val="282828"/>
          <w:sz w:val="24"/>
          <w:szCs w:val="24"/>
          <w:u w:val="single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 xml:space="preserve">Prehľad o poskytnutých dotáciách: </w:t>
      </w:r>
      <w:r>
        <w:rPr>
          <w:rFonts w:ascii="Arial" w:eastAsia="Times New Roman" w:hAnsi="Arial" w:cs="Arial"/>
          <w:color w:val="282828"/>
          <w:sz w:val="24"/>
          <w:szCs w:val="24"/>
          <w:u w:val="single"/>
          <w:lang w:eastAsia="sk-SK"/>
        </w:rPr>
        <w:t xml:space="preserve">Obec Podkriváň v roku 2025 neposkytovala dotácie z rozpočtu samosprávy.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lang w:eastAsia="sk-SK"/>
        </w:rPr>
        <w:t>v €</w:t>
      </w:r>
    </w:p>
    <w:tbl>
      <w:tblPr>
        <w:tblStyle w:val="TableNormal1"/>
        <w:tblW w:w="0" w:type="auto"/>
        <w:tblCellSpacing w:w="15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1710"/>
        <w:gridCol w:w="2610"/>
        <w:gridCol w:w="2520"/>
      </w:tblGrid>
      <w:tr w:rsidR="00D5221C">
        <w:trPr>
          <w:tblCellSpacing w:w="15" w:type="dxa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Prijímateľ dotácie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Výška dotácie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Zúčtovanie dotácie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jc w:val="center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Účel dotácie</w:t>
            </w:r>
          </w:p>
        </w:tc>
      </w:tr>
      <w:tr w:rsidR="00D5221C">
        <w:trPr>
          <w:tblCellSpacing w:w="15" w:type="dxa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---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---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---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8"/>
            <w:vAlign w:val="center"/>
          </w:tcPr>
          <w:p w:rsidR="00D5221C" w:rsidRDefault="00016330">
            <w:pPr>
              <w:spacing w:before="100" w:beforeAutospacing="1" w:after="100" w:afterAutospacing="1" w:line="254" w:lineRule="auto"/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</w:pPr>
            <w:r>
              <w:rPr>
                <w:rFonts w:ascii="Arial" w:eastAsia="Times New Roman" w:hAnsi="Arial" w:cs="Arial"/>
                <w:color w:val="282828"/>
                <w:sz w:val="24"/>
                <w:szCs w:val="24"/>
                <w:lang w:eastAsia="sk-SK"/>
              </w:rPr>
              <w:t> ---</w:t>
            </w:r>
          </w:p>
        </w:tc>
      </w:tr>
    </w:tbl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2"/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 xml:space="preserve"> 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outlineLvl w:val="2"/>
        <w:rPr>
          <w:rFonts w:ascii="Arial" w:eastAsia="Times New Roman" w:hAnsi="Arial" w:cs="Arial"/>
          <w:color w:val="196D03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196D03"/>
          <w:sz w:val="24"/>
          <w:szCs w:val="24"/>
          <w:lang w:eastAsia="sk-SK"/>
        </w:rPr>
        <w:t>G. HODNOTENIE PLNENIA PROGRAMOV</w:t>
      </w:r>
    </w:p>
    <w:p w:rsidR="00D5221C" w:rsidRDefault="00016330">
      <w:pPr>
        <w:shd w:val="clear" w:color="auto" w:fill="F8F8F8"/>
        <w:spacing w:before="100" w:beforeAutospacing="1" w:after="100" w:afterAutospacing="1" w:line="254" w:lineRule="auto"/>
        <w:rPr>
          <w:rFonts w:ascii="Arial" w:eastAsia="Times New Roman" w:hAnsi="Arial" w:cs="Arial"/>
          <w:color w:val="282828"/>
          <w:sz w:val="24"/>
          <w:szCs w:val="24"/>
          <w:u w:val="single"/>
          <w:lang w:eastAsia="sk-SK"/>
        </w:rPr>
      </w:pPr>
      <w:r>
        <w:rPr>
          <w:rFonts w:ascii="Arial" w:eastAsia="Times New Roman" w:hAnsi="Arial" w:cs="Arial"/>
          <w:color w:val="282828"/>
          <w:sz w:val="24"/>
          <w:szCs w:val="24"/>
          <w:u w:val="single"/>
          <w:lang w:eastAsia="sk-SK"/>
        </w:rPr>
        <w:t xml:space="preserve">Rozpočet nebol zostavený ako programový rozpočet. </w:t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 xml:space="preserve"> </w:t>
      </w:r>
    </w:p>
    <w:p w:rsidR="00D5221C" w:rsidRDefault="00016330">
      <w:pPr>
        <w:spacing w:before="100" w:beforeAutospacing="1" w:after="100" w:afterAutospacing="1" w:line="254" w:lineRule="auto"/>
        <w:rPr>
          <w:rFonts w:ascii="Calibri" w:eastAsia="Times New Roman" w:hAnsi="Calibri" w:cs="Times New Roman"/>
          <w:sz w:val="24"/>
          <w:szCs w:val="24"/>
          <w:lang w:eastAsia="sk-SK"/>
        </w:rPr>
      </w:pPr>
      <w:r>
        <w:rPr>
          <w:rFonts w:ascii="Calibri" w:eastAsia="Times New Roman" w:hAnsi="Calibri" w:cs="Times New Roman"/>
          <w:sz w:val="24"/>
          <w:szCs w:val="24"/>
          <w:lang w:eastAsia="sk-SK"/>
        </w:rPr>
        <w:t xml:space="preserve"> </w:t>
      </w:r>
    </w:p>
    <w:p w:rsidR="00D5221C" w:rsidRDefault="00016330">
      <w:pPr>
        <w:spacing w:before="100" w:beforeAutospacing="1" w:after="100" w:afterAutospacing="1" w:line="254" w:lineRule="auto"/>
        <w:rPr>
          <w:rFonts w:ascii="Calibri" w:eastAsia="Times New Roman" w:hAnsi="Calibri" w:cs="Times New Roman"/>
          <w:sz w:val="24"/>
          <w:szCs w:val="24"/>
          <w:lang w:eastAsia="sk-SK"/>
        </w:rPr>
      </w:pPr>
      <w:r>
        <w:rPr>
          <w:rFonts w:ascii="Calibri" w:eastAsia="Times New Roman" w:hAnsi="Calibri" w:cs="Times New Roman"/>
          <w:sz w:val="24"/>
          <w:szCs w:val="24"/>
          <w:lang w:eastAsia="sk-SK"/>
        </w:rPr>
        <w:t>V Podkriváni 10.03.2026</w:t>
      </w:r>
    </w:p>
    <w:p w:rsidR="00D5221C" w:rsidRDefault="00016330">
      <w:pPr>
        <w:spacing w:before="100" w:beforeAutospacing="1" w:after="100" w:afterAutospacing="1" w:line="254" w:lineRule="auto"/>
        <w:rPr>
          <w:rFonts w:ascii="Calibri" w:eastAsia="Times New Roman" w:hAnsi="Calibri" w:cs="Times New Roman"/>
          <w:sz w:val="24"/>
          <w:szCs w:val="24"/>
          <w:lang w:eastAsia="sk-SK"/>
        </w:rPr>
      </w:pPr>
      <w:r>
        <w:rPr>
          <w:rFonts w:ascii="Calibri" w:eastAsia="Times New Roman" w:hAnsi="Calibri" w:cs="Times New Roman"/>
          <w:sz w:val="24"/>
          <w:szCs w:val="24"/>
          <w:lang w:eastAsia="sk-SK"/>
        </w:rPr>
        <w:t xml:space="preserve">Vypracovala: </w:t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  <w:t xml:space="preserve">Schválil: </w:t>
      </w:r>
    </w:p>
    <w:p w:rsidR="00D5221C" w:rsidRDefault="00016330">
      <w:pPr>
        <w:spacing w:before="100" w:beforeAutospacing="1" w:after="100" w:afterAutospacing="1" w:line="254" w:lineRule="auto"/>
        <w:rPr>
          <w:rFonts w:ascii="Calibri" w:eastAsia="Times New Roman" w:hAnsi="Calibri" w:cs="Times New Roman"/>
          <w:sz w:val="24"/>
          <w:szCs w:val="24"/>
          <w:lang w:eastAsia="sk-SK"/>
        </w:rPr>
      </w:pPr>
      <w:r>
        <w:rPr>
          <w:rFonts w:ascii="Calibri" w:eastAsia="Times New Roman" w:hAnsi="Calibri" w:cs="Times New Roman"/>
          <w:sz w:val="24"/>
          <w:szCs w:val="24"/>
          <w:lang w:eastAsia="sk-SK"/>
        </w:rPr>
        <w:t xml:space="preserve"> </w:t>
      </w:r>
    </w:p>
    <w:p w:rsidR="00D5221C" w:rsidRDefault="00016330">
      <w:pPr>
        <w:spacing w:before="100" w:beforeAutospacing="1" w:after="100" w:afterAutospacing="1" w:line="254" w:lineRule="auto"/>
        <w:rPr>
          <w:rFonts w:ascii="Calibri" w:eastAsia="Times New Roman" w:hAnsi="Calibri" w:cs="Times New Roman"/>
          <w:sz w:val="24"/>
          <w:szCs w:val="24"/>
          <w:lang w:eastAsia="sk-SK"/>
        </w:rPr>
      </w:pPr>
      <w:r>
        <w:rPr>
          <w:rFonts w:ascii="Calibri" w:eastAsia="Times New Roman" w:hAnsi="Calibri" w:cs="Times New Roman"/>
          <w:sz w:val="24"/>
          <w:szCs w:val="24"/>
          <w:lang w:eastAsia="sk-SK"/>
        </w:rPr>
        <w:t xml:space="preserve">Alena </w:t>
      </w:r>
      <w:proofErr w:type="spellStart"/>
      <w:r>
        <w:rPr>
          <w:rFonts w:ascii="Calibri" w:eastAsia="Times New Roman" w:hAnsi="Calibri" w:cs="Times New Roman"/>
          <w:sz w:val="24"/>
          <w:szCs w:val="24"/>
          <w:lang w:eastAsia="sk-SK"/>
        </w:rPr>
        <w:t>Kulichová</w:t>
      </w:r>
      <w:proofErr w:type="spellEnd"/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  <w:t xml:space="preserve">Jozef </w:t>
      </w:r>
      <w:proofErr w:type="spellStart"/>
      <w:r>
        <w:rPr>
          <w:rFonts w:ascii="Calibri" w:eastAsia="Times New Roman" w:hAnsi="Calibri" w:cs="Times New Roman"/>
          <w:sz w:val="24"/>
          <w:szCs w:val="24"/>
          <w:lang w:eastAsia="sk-SK"/>
        </w:rPr>
        <w:t>Malatinec</w:t>
      </w:r>
      <w:proofErr w:type="spellEnd"/>
    </w:p>
    <w:p w:rsidR="00D5221C" w:rsidRDefault="00016330">
      <w:pPr>
        <w:spacing w:before="100" w:beforeAutospacing="1" w:after="100" w:afterAutospacing="1" w:line="254" w:lineRule="auto"/>
        <w:rPr>
          <w:rFonts w:ascii="Calibri" w:eastAsia="Times New Roman" w:hAnsi="Calibri" w:cs="Times New Roman"/>
          <w:sz w:val="24"/>
          <w:szCs w:val="24"/>
          <w:lang w:eastAsia="sk-SK"/>
        </w:rPr>
      </w:pPr>
      <w:r>
        <w:rPr>
          <w:rFonts w:ascii="Calibri" w:eastAsia="Times New Roman" w:hAnsi="Calibri" w:cs="Times New Roman"/>
          <w:sz w:val="24"/>
          <w:szCs w:val="24"/>
          <w:lang w:eastAsia="sk-SK"/>
        </w:rPr>
        <w:t xml:space="preserve">Hospodárka obce </w:t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  <w:t xml:space="preserve">starosta obce </w:t>
      </w:r>
    </w:p>
    <w:p w:rsidR="00D5221C" w:rsidRDefault="00016330">
      <w:pPr>
        <w:spacing w:before="100" w:beforeAutospacing="1" w:after="100" w:afterAutospacing="1" w:line="254" w:lineRule="auto"/>
        <w:rPr>
          <w:rFonts w:ascii="Calibri" w:eastAsia="Times New Roman" w:hAnsi="Calibri" w:cs="Times New Roman"/>
          <w:sz w:val="24"/>
          <w:szCs w:val="24"/>
          <w:lang w:eastAsia="sk-SK"/>
        </w:rPr>
      </w:pPr>
      <w:r>
        <w:rPr>
          <w:rFonts w:ascii="Calibri" w:eastAsia="Times New Roman" w:hAnsi="Calibri" w:cs="Times New Roman"/>
          <w:sz w:val="24"/>
          <w:szCs w:val="24"/>
          <w:lang w:eastAsia="sk-SK"/>
        </w:rPr>
        <w:t xml:space="preserve"> </w:t>
      </w:r>
    </w:p>
    <w:p w:rsidR="00D5221C" w:rsidRDefault="00016330">
      <w:pPr>
        <w:spacing w:before="100" w:beforeAutospacing="1" w:after="100" w:afterAutospacing="1" w:line="254" w:lineRule="auto"/>
        <w:rPr>
          <w:rFonts w:ascii="Calibri" w:eastAsia="Times New Roman" w:hAnsi="Calibri" w:cs="Times New Roman"/>
          <w:sz w:val="24"/>
          <w:szCs w:val="24"/>
          <w:lang w:eastAsia="sk-SK"/>
        </w:rPr>
      </w:pPr>
      <w:r>
        <w:rPr>
          <w:rFonts w:ascii="Calibri" w:eastAsia="Times New Roman" w:hAnsi="Calibri" w:cs="Times New Roman"/>
          <w:sz w:val="24"/>
          <w:szCs w:val="24"/>
          <w:lang w:eastAsia="sk-SK"/>
        </w:rPr>
        <w:t>.............................................</w:t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</w:r>
      <w:r>
        <w:rPr>
          <w:rFonts w:ascii="Calibri" w:eastAsia="Times New Roman" w:hAnsi="Calibri" w:cs="Times New Roman"/>
          <w:sz w:val="24"/>
          <w:szCs w:val="24"/>
          <w:lang w:eastAsia="sk-SK"/>
        </w:rPr>
        <w:tab/>
        <w:t xml:space="preserve">............................................ </w:t>
      </w:r>
    </w:p>
    <w:p w:rsidR="00D5221C" w:rsidRDefault="00016330">
      <w:pPr>
        <w:pStyle w:val="Normlny1"/>
        <w:shd w:val="clear" w:color="auto" w:fill="F8F8F8"/>
        <w:rPr>
          <w:rFonts w:ascii="Arial" w:hAnsi="Arial" w:cs="Arial"/>
          <w:color w:val="282828"/>
        </w:rPr>
      </w:pPr>
      <w:r>
        <w:rPr>
          <w:rFonts w:ascii="Arial" w:hAnsi="Arial" w:cs="Arial"/>
          <w:color w:val="282828"/>
        </w:rPr>
        <w:lastRenderedPageBreak/>
        <w:t xml:space="preserve">Samospráva hospodárila so schodkom vo výške </w:t>
      </w:r>
      <w:r>
        <w:rPr>
          <w:rFonts w:ascii="Arial" w:hAnsi="Arial" w:cs="Arial"/>
          <w:color w:val="282828"/>
          <w:shd w:val="clear" w:color="auto" w:fill="DDDDDD"/>
        </w:rPr>
        <w:t>______________</w:t>
      </w:r>
      <w:r>
        <w:rPr>
          <w:rFonts w:ascii="Arial" w:hAnsi="Arial" w:cs="Arial"/>
          <w:color w:val="282828"/>
        </w:rPr>
        <w:t xml:space="preserve"> €; takto vykázaný prebytok/schodok rozpočtu je zistený v súlade s </w:t>
      </w:r>
      <w:hyperlink r:id="rId23" w:history="1">
        <w:r>
          <w:rPr>
            <w:rStyle w:val="Hypertextovprepojenie"/>
            <w:rFonts w:ascii="Arial" w:hAnsi="Arial" w:cs="Arial"/>
            <w:color w:val="196D03"/>
          </w:rPr>
          <w:t>§ 2 písm. b) a c)</w:t>
        </w:r>
      </w:hyperlink>
      <w:r>
        <w:rPr>
          <w:rFonts w:ascii="Arial" w:hAnsi="Arial" w:cs="Arial"/>
          <w:color w:val="282828"/>
        </w:rPr>
        <w:t xml:space="preserve"> a </w:t>
      </w:r>
      <w:hyperlink r:id="rId24" w:history="1">
        <w:r>
          <w:rPr>
            <w:rStyle w:val="Hypertextovprepojenie"/>
            <w:rFonts w:ascii="Arial" w:hAnsi="Arial" w:cs="Arial"/>
            <w:color w:val="196D03"/>
          </w:rPr>
          <w:t>§ 10 ods. 3 písm. a) a b) zákona o rozpočtových pravidlách územnej samosprávy.</w:t>
        </w:r>
      </w:hyperlink>
    </w:p>
    <w:p w:rsidR="00D5221C" w:rsidRDefault="00016330">
      <w:pPr>
        <w:pStyle w:val="Normlny1"/>
        <w:shd w:val="clear" w:color="auto" w:fill="F8F8F8"/>
        <w:rPr>
          <w:rFonts w:ascii="Arial" w:hAnsi="Arial" w:cs="Arial"/>
          <w:color w:val="282828"/>
        </w:rPr>
      </w:pPr>
      <w:r>
        <w:rPr>
          <w:rFonts w:ascii="Arial" w:hAnsi="Arial" w:cs="Arial"/>
          <w:color w:val="282828"/>
        </w:rPr>
        <w:t xml:space="preserve">Podľa </w:t>
      </w:r>
      <w:hyperlink r:id="rId25" w:history="1">
        <w:r>
          <w:rPr>
            <w:rStyle w:val="Hypertextovprepojenie"/>
            <w:rFonts w:ascii="Arial" w:hAnsi="Arial" w:cs="Arial"/>
            <w:color w:val="196D03"/>
          </w:rPr>
          <w:t>§ 10 ods. 6 zákona o rozpočtových pravidlách územnej samosprávy</w:t>
        </w:r>
      </w:hyperlink>
      <w:r>
        <w:rPr>
          <w:rFonts w:ascii="Arial" w:hAnsi="Arial" w:cs="Arial"/>
          <w:color w:val="282828"/>
        </w:rPr>
        <w:t xml:space="preserve"> súčasťou rozpočtu sú finančné operácie, ktorými sa vykonávajú prevody prostriedkov peňažných fondov a realizujú sa návratné zdroje financovania a ich splácanie.</w:t>
      </w:r>
    </w:p>
    <w:p w:rsidR="00D5221C" w:rsidRDefault="00016330">
      <w:pPr>
        <w:pStyle w:val="Normlny1"/>
        <w:shd w:val="clear" w:color="auto" w:fill="F8F8F8"/>
        <w:rPr>
          <w:rFonts w:ascii="Arial" w:hAnsi="Arial" w:cs="Arial"/>
          <w:color w:val="282828"/>
        </w:rPr>
      </w:pPr>
      <w:r>
        <w:rPr>
          <w:rFonts w:ascii="Arial" w:hAnsi="Arial" w:cs="Arial"/>
          <w:b/>
          <w:bCs/>
          <w:color w:val="282828"/>
        </w:rPr>
        <w:t>Príklad</w:t>
      </w:r>
      <w:r>
        <w:rPr>
          <w:rFonts w:ascii="Arial" w:hAnsi="Arial" w:cs="Arial"/>
          <w:color w:val="282828"/>
        </w:rPr>
        <w:t xml:space="preserve"> – ak samospráva dosiahla schodok:</w:t>
      </w:r>
    </w:p>
    <w:p w:rsidR="00D5221C" w:rsidRDefault="00016330">
      <w:pPr>
        <w:pStyle w:val="Normlny1"/>
        <w:shd w:val="clear" w:color="auto" w:fill="F8F8F8"/>
        <w:rPr>
          <w:rFonts w:ascii="Arial" w:hAnsi="Arial" w:cs="Arial"/>
          <w:color w:val="282828"/>
        </w:rPr>
      </w:pPr>
      <w:r>
        <w:rPr>
          <w:rFonts w:ascii="Arial" w:hAnsi="Arial" w:cs="Arial"/>
          <w:i/>
          <w:iCs/>
          <w:color w:val="282828"/>
        </w:rPr>
        <w:t xml:space="preserve">(Rozdiel medzi príjmovými a výdavkovými finančnými operáciami vo výške </w:t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</w:rPr>
        <w:softHyphen/>
      </w:r>
      <w:r>
        <w:rPr>
          <w:rFonts w:ascii="Arial" w:hAnsi="Arial" w:cs="Arial"/>
          <w:i/>
          <w:iCs/>
          <w:color w:val="282828"/>
          <w:shd w:val="clear" w:color="auto" w:fill="DDDDDD"/>
        </w:rPr>
        <w:t>____________</w:t>
      </w:r>
      <w:r>
        <w:rPr>
          <w:rFonts w:ascii="Arial" w:hAnsi="Arial" w:cs="Arial"/>
          <w:i/>
          <w:iCs/>
          <w:color w:val="282828"/>
        </w:rPr>
        <w:t xml:space="preserve"> € bol v priebehu roka použitý na financovanie schodku rozpočtu. Schodok rozpočtu bol v roku financovaný z návratných zdrojov financovania a z prostriedkov rezervného fondu.</w:t>
      </w:r>
    </w:p>
    <w:p w:rsidR="00D5221C" w:rsidRDefault="00016330">
      <w:pPr>
        <w:pStyle w:val="Normlny1"/>
        <w:shd w:val="clear" w:color="auto" w:fill="F8F8F8"/>
        <w:rPr>
          <w:rFonts w:ascii="Arial" w:hAnsi="Arial" w:cs="Arial"/>
          <w:color w:val="282828"/>
        </w:rPr>
      </w:pPr>
      <w:r>
        <w:rPr>
          <w:rFonts w:ascii="Arial" w:hAnsi="Arial" w:cs="Arial"/>
          <w:i/>
          <w:iCs/>
          <w:color w:val="282828"/>
        </w:rPr>
        <w:t xml:space="preserve">Rozdiel medzi schodkom rozpočtu </w:t>
      </w:r>
      <w:r>
        <w:rPr>
          <w:rFonts w:ascii="Arial" w:hAnsi="Arial" w:cs="Arial"/>
          <w:i/>
          <w:iCs/>
          <w:color w:val="282828"/>
          <w:shd w:val="clear" w:color="auto" w:fill="DDDDDD"/>
        </w:rPr>
        <w:t>____________</w:t>
      </w:r>
      <w:r>
        <w:rPr>
          <w:rFonts w:ascii="Arial" w:hAnsi="Arial" w:cs="Arial"/>
          <w:i/>
          <w:iCs/>
          <w:color w:val="282828"/>
        </w:rPr>
        <w:t xml:space="preserve"> € a zostatkom finančných operácií vo výške </w:t>
      </w:r>
      <w:r>
        <w:rPr>
          <w:rFonts w:ascii="Arial" w:hAnsi="Arial" w:cs="Arial"/>
          <w:i/>
          <w:iCs/>
          <w:color w:val="282828"/>
          <w:shd w:val="clear" w:color="auto" w:fill="DDDDDD"/>
        </w:rPr>
        <w:t>__________</w:t>
      </w:r>
      <w:r>
        <w:rPr>
          <w:rFonts w:ascii="Arial" w:hAnsi="Arial" w:cs="Arial"/>
          <w:i/>
          <w:iCs/>
          <w:color w:val="282828"/>
        </w:rPr>
        <w:t xml:space="preserve"> € je zostatok finančných prostriedkov vo výške </w:t>
      </w:r>
      <w:r>
        <w:rPr>
          <w:rFonts w:ascii="Arial" w:hAnsi="Arial" w:cs="Arial"/>
          <w:i/>
          <w:iCs/>
          <w:color w:val="282828"/>
          <w:shd w:val="clear" w:color="auto" w:fill="DDDDDD"/>
        </w:rPr>
        <w:t>_____________</w:t>
      </w:r>
      <w:r>
        <w:rPr>
          <w:rFonts w:ascii="Arial" w:hAnsi="Arial" w:cs="Arial"/>
          <w:i/>
          <w:iCs/>
          <w:color w:val="282828"/>
        </w:rPr>
        <w:t xml:space="preserve"> €. Táto suma predstavuje finančnú hotovosť na účtoch mesta k 31. 12. </w:t>
      </w:r>
      <w:r>
        <w:rPr>
          <w:rFonts w:ascii="Arial" w:hAnsi="Arial" w:cs="Arial"/>
          <w:i/>
          <w:iCs/>
          <w:color w:val="282828"/>
          <w:shd w:val="clear" w:color="auto" w:fill="DDDDDD"/>
        </w:rPr>
        <w:t>____</w:t>
      </w:r>
      <w:r>
        <w:rPr>
          <w:rFonts w:ascii="Arial" w:hAnsi="Arial" w:cs="Arial"/>
          <w:i/>
          <w:iCs/>
          <w:color w:val="282828"/>
        </w:rPr>
        <w:t>, okrem finančných prostriedkov, ktoré sa z tohto zostatku vylučujú – zostatky peňažných fondov, fondu prevádzky, opráv a údržby, cudzích prostriedkov a prostriedkov z podnikateľskej činnosti.)</w:t>
      </w:r>
    </w:p>
    <w:p w:rsidR="00D5221C" w:rsidRDefault="00016330">
      <w:pPr>
        <w:pStyle w:val="Normlny1"/>
        <w:shd w:val="clear" w:color="auto" w:fill="F8F8F8"/>
        <w:rPr>
          <w:rFonts w:ascii="Arial" w:hAnsi="Arial" w:cs="Arial"/>
          <w:color w:val="282828"/>
        </w:rPr>
      </w:pPr>
      <w:r>
        <w:rPr>
          <w:rFonts w:ascii="Arial" w:hAnsi="Arial" w:cs="Arial"/>
          <w:color w:val="282828"/>
        </w:rPr>
        <w:t xml:space="preserve">Podľa </w:t>
      </w:r>
      <w:hyperlink r:id="rId26" w:history="1">
        <w:r>
          <w:rPr>
            <w:rStyle w:val="Hypertextovprepojenie"/>
            <w:rFonts w:ascii="Arial" w:hAnsi="Arial" w:cs="Arial"/>
            <w:color w:val="196D03"/>
          </w:rPr>
          <w:t>§ 16 ods. 6 a 7 zákona o rozpočtových pravidlách územnej samosprávy</w:t>
        </w:r>
      </w:hyperlink>
      <w:r>
        <w:rPr>
          <w:rFonts w:ascii="Arial" w:hAnsi="Arial" w:cs="Arial"/>
          <w:color w:val="282828"/>
        </w:rPr>
        <w:t>, ak možno použiť v rozpočtovom roku v súlade s osobitným predpisom nevyčerpané účelovo určené prostriedky poskytnuté v predchádzajúcom rozpočtovom roku zo štátneho rozpočtu, z rozpočtu Európskej únie alebo na základe osobitného predpisu, tieto nevyčerpané prostriedky sa na účely tvorby peňažných fondov pri usporiadaní prebytku rozpočtu z tohto prebytku vylučujú.</w:t>
      </w:r>
    </w:p>
    <w:p w:rsidR="00D5221C" w:rsidRDefault="00016330">
      <w:pPr>
        <w:pStyle w:val="Normlny1"/>
        <w:shd w:val="clear" w:color="auto" w:fill="F8F8F8"/>
        <w:rPr>
          <w:rFonts w:ascii="Arial" w:hAnsi="Arial" w:cs="Arial"/>
          <w:color w:val="282828"/>
        </w:rPr>
      </w:pPr>
      <w:r>
        <w:rPr>
          <w:rFonts w:ascii="Arial" w:hAnsi="Arial" w:cs="Arial"/>
          <w:i/>
          <w:iCs/>
          <w:color w:val="282828"/>
        </w:rPr>
        <w:t xml:space="preserve">(V roku </w:t>
      </w:r>
      <w:r>
        <w:rPr>
          <w:rFonts w:ascii="Arial" w:hAnsi="Arial" w:cs="Arial"/>
          <w:i/>
          <w:iCs/>
          <w:color w:val="282828"/>
          <w:shd w:val="clear" w:color="auto" w:fill="DDDDDD"/>
        </w:rPr>
        <w:t>______</w:t>
      </w:r>
      <w:r>
        <w:rPr>
          <w:rFonts w:ascii="Arial" w:hAnsi="Arial" w:cs="Arial"/>
          <w:i/>
          <w:iCs/>
          <w:color w:val="282828"/>
        </w:rPr>
        <w:t xml:space="preserve"> ide o nevyčerpané účelovo určené prostriedky poskytnuté v predchádzajúcom rozpočtovom roku zo ŠR, z rozpočtu EÚ alebo na základe osobitného predpisu, ktoré možno použiť v nasledujúcom rozpočtovom roku vo výške </w:t>
      </w:r>
      <w:r>
        <w:rPr>
          <w:rFonts w:ascii="Arial" w:hAnsi="Arial" w:cs="Arial"/>
          <w:i/>
          <w:iCs/>
          <w:color w:val="282828"/>
          <w:shd w:val="clear" w:color="auto" w:fill="DDDDDD"/>
        </w:rPr>
        <w:t>_________</w:t>
      </w:r>
      <w:r>
        <w:rPr>
          <w:rFonts w:ascii="Arial" w:hAnsi="Arial" w:cs="Arial"/>
          <w:i/>
          <w:iCs/>
          <w:color w:val="282828"/>
        </w:rPr>
        <w:t xml:space="preserve"> €. O túto sumu sa pre tvorbu peňažných fondov upraví zostatok finančných prostriedkov, ktorý v konečnom zúčtovaní predstavuje sumu </w:t>
      </w:r>
      <w:r>
        <w:rPr>
          <w:rFonts w:ascii="Arial" w:hAnsi="Arial" w:cs="Arial"/>
          <w:i/>
          <w:iCs/>
          <w:color w:val="282828"/>
          <w:shd w:val="clear" w:color="auto" w:fill="DDDDDD"/>
        </w:rPr>
        <w:t>_______</w:t>
      </w:r>
      <w:r>
        <w:rPr>
          <w:rFonts w:ascii="Arial" w:hAnsi="Arial" w:cs="Arial"/>
          <w:i/>
          <w:iCs/>
          <w:color w:val="282828"/>
        </w:rPr>
        <w:t xml:space="preserve"> €.</w:t>
      </w:r>
    </w:p>
    <w:p w:rsidR="00D5221C" w:rsidRDefault="00016330">
      <w:pPr>
        <w:pStyle w:val="Normlny1"/>
        <w:shd w:val="clear" w:color="auto" w:fill="F8F8F8"/>
        <w:rPr>
          <w:rFonts w:ascii="Arial" w:hAnsi="Arial" w:cs="Arial"/>
          <w:color w:val="282828"/>
        </w:rPr>
      </w:pPr>
      <w:r>
        <w:rPr>
          <w:rFonts w:ascii="Arial" w:hAnsi="Arial" w:cs="Arial"/>
          <w:i/>
          <w:iCs/>
          <w:color w:val="282828"/>
        </w:rPr>
        <w:t>V návrhu záverečného účtu sa navrhuje, aby celá táto suma bola pridelená do rezervného fondu.)</w:t>
      </w:r>
    </w:p>
    <w:p w:rsidR="00D5221C" w:rsidRDefault="00016330">
      <w:pPr>
        <w:pStyle w:val="Normlny1"/>
      </w:pPr>
      <w:r>
        <w:t xml:space="preserve"> </w:t>
      </w:r>
    </w:p>
    <w:p w:rsidR="00D5221C" w:rsidRDefault="00D5221C"/>
    <w:sectPr w:rsidR="00D5221C">
      <w:footerReference w:type="default" r:id="rId2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2DAA" w:rsidRDefault="006C2DAA">
      <w:pPr>
        <w:spacing w:line="240" w:lineRule="auto"/>
      </w:pPr>
      <w:r>
        <w:separator/>
      </w:r>
    </w:p>
  </w:endnote>
  <w:endnote w:type="continuationSeparator" w:id="0">
    <w:p w:rsidR="006C2DAA" w:rsidRDefault="006C2D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94707782"/>
      <w:docPartObj>
        <w:docPartGallery w:val="AutoText"/>
      </w:docPartObj>
    </w:sdtPr>
    <w:sdtContent>
      <w:p w:rsidR="00016330" w:rsidRDefault="00016330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016330" w:rsidRDefault="0001633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2DAA" w:rsidRDefault="006C2DAA">
      <w:pPr>
        <w:spacing w:after="0"/>
      </w:pPr>
      <w:r>
        <w:separator/>
      </w:r>
    </w:p>
  </w:footnote>
  <w:footnote w:type="continuationSeparator" w:id="0">
    <w:p w:rsidR="006C2DAA" w:rsidRDefault="006C2DA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449E"/>
    <w:multiLevelType w:val="multilevel"/>
    <w:tmpl w:val="07BB449E"/>
    <w:lvl w:ilvl="0">
      <w:start w:val="1"/>
      <w:numFmt w:val="lowerLetter"/>
      <w:lvlText w:val="%1."/>
      <w:lvlJc w:val="left"/>
      <w:pPr>
        <w:tabs>
          <w:tab w:val="left" w:pos="0"/>
          <w:tab w:val="left" w:pos="540"/>
          <w:tab w:val="left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left" w:pos="0"/>
          <w:tab w:val="left" w:pos="1080"/>
          <w:tab w:val="left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Letter"/>
      <w:lvlText w:val="%3."/>
      <w:lvlJc w:val="left"/>
      <w:pPr>
        <w:tabs>
          <w:tab w:val="left" w:pos="0"/>
          <w:tab w:val="left" w:pos="1620"/>
          <w:tab w:val="left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lowerLetter"/>
      <w:lvlText w:val="%4."/>
      <w:lvlJc w:val="left"/>
      <w:pPr>
        <w:tabs>
          <w:tab w:val="left" w:pos="0"/>
          <w:tab w:val="left" w:pos="2160"/>
          <w:tab w:val="left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left" w:pos="0"/>
          <w:tab w:val="left" w:pos="2700"/>
          <w:tab w:val="left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Letter"/>
      <w:lvlText w:val="%6."/>
      <w:lvlJc w:val="left"/>
      <w:pPr>
        <w:tabs>
          <w:tab w:val="left" w:pos="0"/>
          <w:tab w:val="left" w:pos="3240"/>
          <w:tab w:val="left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lowerLetter"/>
      <w:lvlText w:val="%7."/>
      <w:lvlJc w:val="left"/>
      <w:pPr>
        <w:tabs>
          <w:tab w:val="left" w:pos="0"/>
          <w:tab w:val="left" w:pos="3780"/>
          <w:tab w:val="left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left" w:pos="0"/>
          <w:tab w:val="left" w:pos="4320"/>
          <w:tab w:val="left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Letter"/>
      <w:lvlText w:val="%9."/>
      <w:lvlJc w:val="left"/>
      <w:pPr>
        <w:tabs>
          <w:tab w:val="left" w:pos="0"/>
          <w:tab w:val="left" w:pos="4860"/>
          <w:tab w:val="left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37A3329A"/>
    <w:multiLevelType w:val="multilevel"/>
    <w:tmpl w:val="37A3329A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left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DA7AA5"/>
    <w:multiLevelType w:val="multilevel"/>
    <w:tmpl w:val="4DDA7AA5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left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22AC7"/>
    <w:multiLevelType w:val="multilevel"/>
    <w:tmpl w:val="50922AC7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left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FD5AB9"/>
    <w:multiLevelType w:val="multilevel"/>
    <w:tmpl w:val="53FD5AB9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left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F00EEB"/>
    <w:multiLevelType w:val="multilevel"/>
    <w:tmpl w:val="56F00EEB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left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F26956"/>
    <w:multiLevelType w:val="multilevel"/>
    <w:tmpl w:val="76F26956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left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8251B"/>
    <w:multiLevelType w:val="multilevel"/>
    <w:tmpl w:val="77F8251B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left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7"/>
  </w:num>
  <w:num w:numId="5">
    <w:abstractNumId w:val="4"/>
  </w:num>
  <w:num w:numId="6">
    <w:abstractNumId w:val="2"/>
  </w:num>
  <w:num w:numId="7">
    <w:abstractNumId w:val="1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FFE"/>
    <w:rsid w:val="00016330"/>
    <w:rsid w:val="00154387"/>
    <w:rsid w:val="001578D2"/>
    <w:rsid w:val="001743A6"/>
    <w:rsid w:val="00231DAC"/>
    <w:rsid w:val="00252E16"/>
    <w:rsid w:val="00255CBC"/>
    <w:rsid w:val="002846CA"/>
    <w:rsid w:val="002C5D7E"/>
    <w:rsid w:val="0049467F"/>
    <w:rsid w:val="00665C8F"/>
    <w:rsid w:val="006A2B34"/>
    <w:rsid w:val="006C2DAA"/>
    <w:rsid w:val="00736CD8"/>
    <w:rsid w:val="00750315"/>
    <w:rsid w:val="007A3FFE"/>
    <w:rsid w:val="00842EE8"/>
    <w:rsid w:val="008C0F1F"/>
    <w:rsid w:val="008D34DF"/>
    <w:rsid w:val="00920265"/>
    <w:rsid w:val="009D78FF"/>
    <w:rsid w:val="00A1491D"/>
    <w:rsid w:val="00A20BB2"/>
    <w:rsid w:val="00A9638C"/>
    <w:rsid w:val="00AA1EE1"/>
    <w:rsid w:val="00B55C9B"/>
    <w:rsid w:val="00D5221C"/>
    <w:rsid w:val="00E0740E"/>
    <w:rsid w:val="00E1155F"/>
    <w:rsid w:val="00E43735"/>
    <w:rsid w:val="00E811BC"/>
    <w:rsid w:val="00F3332F"/>
    <w:rsid w:val="00F80744"/>
    <w:rsid w:val="5B99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5EE9F"/>
  <w15:docId w15:val="{7C555967-F001-450A-A0C8-557F7A0CF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PouitHypertextovPrepojenie">
    <w:name w:val="FollowedHyperlink"/>
    <w:basedOn w:val="Predvolenpsmoodseku"/>
    <w:uiPriority w:val="99"/>
    <w:unhideWhenUsed/>
    <w:rPr>
      <w:color w:val="800080"/>
      <w:u w:val="single"/>
    </w:rPr>
  </w:style>
  <w:style w:type="paragraph" w:styleId="Pta">
    <w:name w:val="footer"/>
    <w:basedOn w:val="Normlny"/>
    <w:link w:val="PtaChar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Pr>
      <w:color w:val="0000FF"/>
      <w:u w:val="single"/>
    </w:rPr>
  </w:style>
  <w:style w:type="paragraph" w:customStyle="1" w:styleId="Normlny1">
    <w:name w:val="Normálny1"/>
    <w:pPr>
      <w:spacing w:before="100" w:beforeAutospacing="1" w:after="100" w:afterAutospacing="1" w:line="254" w:lineRule="auto"/>
    </w:pPr>
    <w:rPr>
      <w:rFonts w:ascii="Calibri" w:eastAsia="Times New Roman" w:hAnsi="Calibri" w:cs="Times New Roman"/>
      <w:sz w:val="24"/>
      <w:szCs w:val="24"/>
    </w:rPr>
  </w:style>
  <w:style w:type="paragraph" w:customStyle="1" w:styleId="msonormal0">
    <w:name w:val="msonormal"/>
    <w:basedOn w:val="Normlny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Normlnywebov1">
    <w:name w:val="Normálny (webový)1"/>
    <w:basedOn w:val="Normlny"/>
    <w:semiHidden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Odsekzoznamu1">
    <w:name w:val="Odsek zoznamu1"/>
    <w:basedOn w:val="Normlny"/>
    <w:pPr>
      <w:spacing w:before="100" w:beforeAutospacing="1" w:after="100" w:afterAutospacing="1" w:line="254" w:lineRule="auto"/>
      <w:contextualSpacing/>
    </w:pPr>
    <w:rPr>
      <w:rFonts w:ascii="Calibri" w:eastAsia="Times New Roman" w:hAnsi="Calibri" w:cs="Times New Roman"/>
      <w:sz w:val="24"/>
      <w:szCs w:val="24"/>
      <w:lang w:eastAsia="sk-SK"/>
    </w:rPr>
  </w:style>
  <w:style w:type="character" w:customStyle="1" w:styleId="10">
    <w:name w:val="10"/>
    <w:basedOn w:val="Predvolenpsmoodseku"/>
    <w:rPr>
      <w:rFonts w:ascii="Calibri" w:hAnsi="Calibri" w:cs="Calibri" w:hint="default"/>
    </w:rPr>
  </w:style>
  <w:style w:type="character" w:customStyle="1" w:styleId="15">
    <w:name w:val="15"/>
    <w:basedOn w:val="Predvolenpsmoodseku"/>
    <w:qFormat/>
    <w:rPr>
      <w:rFonts w:ascii="Calibri" w:hAnsi="Calibri" w:cs="Calibri" w:hint="default"/>
      <w:color w:val="0000FF"/>
      <w:u w:val="single"/>
    </w:rPr>
  </w:style>
  <w:style w:type="table" w:customStyle="1" w:styleId="TableNormal1">
    <w:name w:val="Table Normal1"/>
    <w:semiHidden/>
    <w:rPr>
      <w:rFonts w:ascii="Times New Roman" w:eastAsia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sekzoznamu">
    <w:name w:val="List Paragraph"/>
    <w:basedOn w:val="Normlny"/>
    <w:uiPriority w:val="34"/>
    <w:qFormat/>
    <w:pPr>
      <w:ind w:left="720"/>
      <w:contextualSpacing/>
    </w:pPr>
  </w:style>
  <w:style w:type="character" w:customStyle="1" w:styleId="HlavikaChar">
    <w:name w:val="Hlavička Char"/>
    <w:basedOn w:val="Predvolenpsmoodseku"/>
    <w:link w:val="Hlavika"/>
    <w:uiPriority w:val="99"/>
    <w:qFormat/>
  </w:style>
  <w:style w:type="character" w:customStyle="1" w:styleId="PtaChar">
    <w:name w:val="Päta Char"/>
    <w:basedOn w:val="Predvolenpsmoodseku"/>
    <w:link w:val="Pta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sr.sk/main/goto.ashx?t=26&amp;p=1021871&amp;f=3" TargetMode="External"/><Relationship Id="rId13" Type="http://schemas.openxmlformats.org/officeDocument/2006/relationships/hyperlink" Target="https://www.vssr.sk/main/goto.ashx?t=27&amp;p=3120465-3120467&amp;f=2" TargetMode="External"/><Relationship Id="rId18" Type="http://schemas.openxmlformats.org/officeDocument/2006/relationships/hyperlink" Target="https://www.vssr.sk/main/goto.ashx?t=27&amp;p=3120727-3120731&amp;f=2" TargetMode="External"/><Relationship Id="rId26" Type="http://schemas.openxmlformats.org/officeDocument/2006/relationships/hyperlink" Target="https://www.vssr.sk/main/goto.ashx?t=27&amp;p=3120695-3120697&amp;f=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vssr.sk/main/goto.ashx?t=26&amp;p=1021871&amp;f=2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vssr.sk/main/goto.ashx?t=26&amp;p=1022257&amp;f=3" TargetMode="External"/><Relationship Id="rId17" Type="http://schemas.openxmlformats.org/officeDocument/2006/relationships/hyperlink" Target="https://www.vssr.sk/main/goto.ashx?t=27&amp;p=3120612&amp;f=2" TargetMode="External"/><Relationship Id="rId25" Type="http://schemas.openxmlformats.org/officeDocument/2006/relationships/hyperlink" Target="https://www.vssr.sk/main/goto.ashx?t=27&amp;p=3120612&amp;f=2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vssr.sk/main/goto.ashx?t=27&amp;p=3120605-3120606&amp;f=2" TargetMode="External"/><Relationship Id="rId20" Type="http://schemas.openxmlformats.org/officeDocument/2006/relationships/hyperlink" Target="https://www.vssr.sk/main/goto.ashx?t=27&amp;p=3120731&amp;f=2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vssr.sk/main/goto.ashx?t=27&amp;p=3120652-3120661&amp;f=2" TargetMode="External"/><Relationship Id="rId24" Type="http://schemas.openxmlformats.org/officeDocument/2006/relationships/hyperlink" Target="https://www.vssr.sk/main/goto.ashx?t=27&amp;p=3120605-3120606&amp;f=2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vssr.sk/main/goto.ashx?t=27&amp;p=3120465-3120467&amp;f=2" TargetMode="External"/><Relationship Id="rId23" Type="http://schemas.openxmlformats.org/officeDocument/2006/relationships/hyperlink" Target="https://www.vssr.sk/main/goto.ashx?t=27&amp;p=3120465-3120467&amp;f=2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vssr.sk/main/goto.ashx?t=26&amp;p=1021871&amp;f=3" TargetMode="External"/><Relationship Id="rId19" Type="http://schemas.openxmlformats.org/officeDocument/2006/relationships/hyperlink" Target="https://www.vssr.sk/main/goto.ashx?t=27&amp;p=3120729&amp;f=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vssr.sk/main/goto.ashx?t=27&amp;p=3120604-3120607&amp;f=2" TargetMode="External"/><Relationship Id="rId14" Type="http://schemas.openxmlformats.org/officeDocument/2006/relationships/hyperlink" Target="https://www.vssr.sk/main/goto.ashx?t=27&amp;p=3120605-3120606&amp;f=2" TargetMode="External"/><Relationship Id="rId22" Type="http://schemas.openxmlformats.org/officeDocument/2006/relationships/hyperlink" Target="https://www.vssr.sk/main/goto.ashx?t=27&amp;p=3120556&amp;f=2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16</Pages>
  <Words>3697</Words>
  <Characters>21078</Characters>
  <Application>Microsoft Office Word</Application>
  <DocSecurity>0</DocSecurity>
  <Lines>175</Lines>
  <Paragraphs>49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KULICHOVÁ Alena</dc:creator>
  <cp:lastModifiedBy>KULICHOVÁ Alena</cp:lastModifiedBy>
  <cp:revision>8</cp:revision>
  <dcterms:created xsi:type="dcterms:W3CDTF">2026-03-06T11:37:00Z</dcterms:created>
  <dcterms:modified xsi:type="dcterms:W3CDTF">2026-03-11T08:56:00Z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A82DF7F82E8644FE8C850512EBDA8005_12</vt:lpwstr>
  </property>
</Properties>
</file>